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tabs>
          <w:tab w:leader="none" w:pos="0" w:val="left"/>
        </w:tabs>
        <w:spacing w:after="0" w:line="360" w:lineRule="auto"/>
        <w:ind w:firstLine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  <w:t>Паспорт практического задания</w:t>
      </w:r>
    </w:p>
    <w:p w14:paraId="05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  <w:t>«Задание по организации работы коллектива»</w:t>
      </w: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7"/>
        <w:gridCol w:w="6798"/>
        <w:gridCol w:w="1916"/>
      </w:tblGrid>
      <w:tr>
        <w:trPr>
          <w:trHeight w:hRule="atLeast" w:val="25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№ п/п</w:t>
            </w: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23.02.07 Техническое обслуживание и ремонт двигателей, систем и агрегатов</w:t>
            </w:r>
          </w:p>
        </w:tc>
      </w:tr>
      <w:tr>
        <w:trPr>
          <w:trHeight w:hRule="atLeast" w:val="24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Код, наименование общих и профессиональных компетенций в соответствии с ФГОС СПО:</w:t>
            </w:r>
          </w:p>
          <w:p w14:paraId="0A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01. Выбирать способы решения задач</w:t>
            </w:r>
          </w:p>
          <w:p w14:paraId="0B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профессиональной деятельности, применительно к различным контекстам. 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0C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0D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0E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0F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09. Использовать информационные технологии в профессиональной деятельности.</w:t>
            </w:r>
          </w:p>
          <w:p w14:paraId="10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11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ПK 5.1. Планировать деятельность подразделения по техническому обслуживанию и ремонту систем, узлов и двигателей автомобиля.</w:t>
            </w:r>
          </w:p>
          <w:p w14:paraId="12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ПK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14:paraId="13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ПK 5.4. Разрабатывать предложения по совершенствованию деятельности подразделения, техническому обслуживанию и ремонту</w:t>
            </w:r>
          </w:p>
          <w:p w14:paraId="14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yellow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автотранспортных средств.</w:t>
            </w:r>
          </w:p>
        </w:tc>
      </w:tr>
      <w:tr>
        <w:trPr>
          <w:trHeight w:hRule="atLeast" w:val="25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Код, наименование дисциплины/дисциплин, междисциплинарного курса/курсов в соответствии с ФГОС</w:t>
            </w:r>
          </w:p>
          <w:p w14:paraId="17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ПM.02 Организация процессов по техническому обслуживанию и ремонту автомобилей</w:t>
            </w:r>
          </w:p>
          <w:p w14:paraId="18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МДК 02.02 Управление процессом технического обслуживания и ремонта автомобилей.</w:t>
            </w:r>
          </w:p>
          <w:p w14:paraId="19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МДК 02.03 Управление коллективом исполнителей.</w:t>
            </w:r>
          </w:p>
        </w:tc>
      </w:tr>
      <w:tr>
        <w:trPr>
          <w:trHeight w:hRule="atLeast" w:val="20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ЗАДАНИЕ № 1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Максимальный бал</w:t>
            </w: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л – 10</w:t>
            </w:r>
          </w:p>
        </w:tc>
      </w:tr>
      <w:tr>
        <w:trPr>
          <w:trHeight w:hRule="atLeast" w:val="653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  <w:p w14:paraId="1F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6" w:val="left"/>
              </w:tabs>
              <w:spacing w:after="0" w:before="0" w:line="240" w:lineRule="auto"/>
              <w:ind w:hanging="259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Среднюю часовую тарифную ставку Сч.</w:t>
            </w:r>
          </w:p>
          <w:p w14:paraId="20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8" w:val="left"/>
              </w:tabs>
              <w:spacing w:after="0" w:before="0" w:line="240" w:lineRule="auto"/>
              <w:ind w:hanging="261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Тарифный годовой фонд заработной платы ремонтных рабочих ФЗПт.</w:t>
            </w:r>
          </w:p>
          <w:p w14:paraId="21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61" w:val="left"/>
              </w:tabs>
              <w:spacing w:after="0" w:before="0" w:line="240" w:lineRule="auto"/>
              <w:ind w:hanging="274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Размер годовой доплаты за вредные и тяжелые условия труда ремонтных рабочих Двр и</w:t>
            </w:r>
          </w:p>
          <w:p w14:paraId="2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199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размер годового премиального фонда ремонтных рабочих Дпр.</w:t>
            </w:r>
          </w:p>
          <w:p w14:paraId="23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7" w:val="left"/>
              </w:tabs>
              <w:spacing w:after="0" w:before="0" w:line="240" w:lineRule="auto"/>
              <w:ind w:hanging="259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Общий годовой фонд заработной платы ремонтных рабочих с доплатами ФЗП.</w:t>
            </w:r>
          </w:p>
          <w:p w14:paraId="24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7" w:val="left"/>
              </w:tabs>
              <w:spacing w:after="0" w:before="0" w:line="240" w:lineRule="auto"/>
              <w:ind w:hanging="259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Среднемесячную заработную плату ремонтного рабочего ЗП. </w:t>
            </w:r>
          </w:p>
          <w:p w14:paraId="25000000">
            <w:pPr>
              <w:widowControl w:val="0"/>
              <w:tabs>
                <w:tab w:leader="none" w:pos="1245" w:val="left"/>
              </w:tabs>
              <w:spacing w:after="0" w:line="348" w:lineRule="auto"/>
              <w:ind w:right="3410"/>
              <w:rPr>
                <w:sz w:val="22"/>
              </w:rPr>
            </w:pPr>
          </w:p>
          <w:tbl>
            <w:tblPr>
              <w:tblStyle w:val="Style_3"/>
              <w:tblInd w:type="dxa" w:w="48"/>
              <w:tblBorders>
                <w:top w:color="000000" w:sz="6" w:val="single"/>
                <w:left w:color="000000" w:sz="6" w:val="single"/>
                <w:bottom w:color="000000" w:sz="6" w:val="single"/>
                <w:right w:color="000000" w:sz="6" w:val="single"/>
                <w:insideH w:color="000000" w:sz="6" w:val="single"/>
                <w:insideV w:color="000000" w:sz="6" w:val="single"/>
              </w:tblBorders>
              <w:tblLayout w:type="fixed"/>
            </w:tblPr>
            <w:tblGrid>
              <w:gridCol w:w="3412"/>
              <w:gridCol w:w="1549"/>
              <w:gridCol w:w="1843"/>
            </w:tblGrid>
            <w:tr>
              <w:trPr>
                <w:trHeight w:hRule="atLeast" w:val="560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6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905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bookmarkStart w:id="1" w:name="_gjdgxs"/>
                  <w:bookmarkEnd w:id="1"/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Наименование позиции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7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-7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Формула, расчет</w:t>
                  </w: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8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28" w:lineRule="auto"/>
                    <w:ind w:hanging="442" w:left="550" w:right="11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Результат расчета с ед. изм.</w:t>
                  </w:r>
                </w:p>
              </w:tc>
            </w:tr>
            <w:tr>
              <w:trPr>
                <w:trHeight w:hRule="atLeast" w:val="546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9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3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1) Расчет средней часовой тарифной</w:t>
                  </w:r>
                </w:p>
                <w:p w14:paraId="2A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4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ставки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B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C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556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D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3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2) Расчет тарифного годового фонда</w:t>
                  </w:r>
                </w:p>
                <w:p w14:paraId="2E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1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заработной платы ремонтных рабочих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F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0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815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1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73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3) Расчет годовой доплаты за вредные</w:t>
                  </w:r>
                </w:p>
                <w:p w14:paraId="32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8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и тяжелые условия труда рабочих и</w:t>
                  </w:r>
                </w:p>
                <w:p w14:paraId="33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88" w:lineRule="auto"/>
                    <w:ind w:firstLine="0" w:left="79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годового премиального фонда рабочих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4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5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824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6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4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4) Расчет общего годового фонда</w:t>
                  </w:r>
                </w:p>
                <w:p w14:paraId="37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hanging="4" w:left="74" w:right="14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заработной платы ремонтных рабочих с доплатами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8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9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546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A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6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Style w:val="Style_1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5) Расчет среднемесячной заработной</w:t>
                  </w:r>
                </w:p>
                <w:p w14:paraId="3B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8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Style w:val="Style_1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платы ремонтного рабочего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C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D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</w:tbl>
          <w:p w14:paraId="3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Критерии оценки:</w:t>
            </w:r>
          </w:p>
        </w:tc>
      </w:tr>
      <w:tr>
        <w:trPr>
          <w:trHeight w:hRule="atLeast" w:val="240"/>
        </w:trPr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before="0" w:line="240" w:lineRule="auto"/>
              <w:ind w:firstLine="0" w:left="0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spacing w:after="0" w:line="240" w:lineRule="auto"/>
              <w:ind w:firstLine="0" w:left="13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асчет средней часовой тарифной ставки, руб./чел.-ч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before="97" w:line="240" w:lineRule="auto"/>
              <w:ind w:firstLine="0" w:left="34" w:right="14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0"/>
              <w:spacing w:after="0" w:line="228" w:lineRule="auto"/>
              <w:ind w:firstLine="0" w:left="13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Расчет тарифного годового фонда заработной платы ремонтных рабочих,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spacing w:after="0" w:line="216" w:lineRule="auto"/>
              <w:ind w:hanging="3" w:left="135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Расчет годовой доплаты за вредные и тяжелые условия труда рабочих и годового премиального фонда рабочих,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spacing w:after="0" w:line="228" w:lineRule="auto"/>
              <w:ind w:firstLine="0" w:left="13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Расчет общего годового фонда заработной платы ремонтных рабочих с доплатами,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0"/>
              <w:tabs>
                <w:tab w:leader="none" w:pos="1659" w:val="left"/>
                <w:tab w:leader="none" w:pos="4816" w:val="left"/>
              </w:tabs>
              <w:spacing w:after="0" w:line="228" w:lineRule="auto"/>
              <w:ind w:firstLine="0" w:left="137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Определение среднемесячной заработной платы ремонтного рабочего,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ЗАДАНИЕ № 2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Максимальный балл –</w:t>
            </w: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10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57" w:right="402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Составить служебную записку используя результаты произведенных расчетов в задаче № 1.</w:t>
            </w:r>
          </w:p>
          <w:p w14:paraId="52000000">
            <w:pPr>
              <w:spacing w:after="0" w:line="240" w:lineRule="auto"/>
              <w:ind w:firstLine="0" w:left="57"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Критерии оценки: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0" w:right="0"/>
              <w:jc w:val="left"/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Наличие реквизитов документа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3,5</w:t>
            </w:r>
          </w:p>
        </w:tc>
      </w:tr>
      <w:tr>
        <w:trPr>
          <w:trHeight w:hRule="atLeast" w:val="3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Текст служебной записки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1"/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1,0</w:t>
            </w:r>
          </w:p>
        </w:tc>
      </w:tr>
      <w:tr>
        <w:trPr>
          <w:trHeight w:hRule="atLeast" w:val="3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Правильность расположения и оформления реквизитов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1"/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5,5</w:t>
            </w:r>
          </w:p>
        </w:tc>
      </w:tr>
      <w:tr>
        <w:trPr>
          <w:trHeight w:hRule="atLeast" w:val="24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Материально-техническое обеспечение выполнения задания </w:t>
            </w:r>
          </w:p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(на одного участника)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количество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калькулятор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лист бумаги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ручка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компьютер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</w:tbl>
    <w:p w14:paraId="72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3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4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5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6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7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8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9000000">
      <w:pPr>
        <w:spacing w:after="0" w:line="240" w:lineRule="auto"/>
        <w:ind w:right="1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Рекомендуемая литература</w:t>
      </w:r>
    </w:p>
    <w:p w14:paraId="7A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110" w:val="left"/>
        </w:tabs>
        <w:spacing w:after="0" w:before="7" w:line="264" w:lineRule="auto"/>
        <w:ind w:hanging="425" w:left="567" w:right="122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Ткачева, Галина Викторовна. Мастер по ремонту и обслуживанию автомобилей. Основы профессиональной деятельности учебно — практическое пособие / Г.В. Ткачева, Н.В. Келеменев , С.А. Дмитренко. — Москва KHOPУC, 2020. — 196 с. — (Среднее профессиональное образование).</w:t>
      </w:r>
    </w:p>
    <w:p w14:paraId="7B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4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Радкевич, Я.М. Метрология, стандартизация и сертификация в 3 ч. Часть 1. Метрология: учебник для среднего профессионального образования / Я.М. Радкевич, А.Г. Схиртладзе. — 5 — е изд., перераб. и доп. — Москва: Издательство Юрайт, 2020. — 235 с. — (Профессиональное образование). — Текст : непосредственный.</w:t>
      </w:r>
    </w:p>
    <w:p w14:paraId="7C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5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Радкевич, Я.М. Метрология, стандартизация и сертификация в 3 ч. Часть 2. Стандартизация учебник для среднего профессионального образования / Я.М. Радкевич, А.Г. Схиртладзе. — 5 — е изд., перераб. и доп. — Москва: Издательство Юрайт, 2020. — 481 с. — (Профессиональное образование). — Текст : непосредственный.</w:t>
      </w:r>
    </w:p>
    <w:p w14:paraId="7D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4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Радкевич, Я.М. Метрология, стандартизация и сертификация в 3 ч. Часть 3. Сертификация: учебник для среднего профессионального образования / Я.М. Радкевич, А.Г. Схиртладзе. — 5 — е изд., перераб. и доп. — Москва: Издательство Юрайт, 2020. — 132 с. — (Профессиональное образование). — Текст : непосредственный.</w:t>
      </w:r>
    </w:p>
    <w:p w14:paraId="7E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5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Общесоюзные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нормы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технологического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проектирования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предприятий автомобильного транспорта. OHTП — 01 — 91/ РОС Автотранспорт РД 3107938-0176-91.</w:t>
      </w:r>
    </w:p>
    <w:p w14:paraId="7F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52" w:val="left"/>
        </w:tabs>
        <w:spacing w:after="0" w:before="0" w:line="240" w:lineRule="auto"/>
        <w:ind w:hanging="425" w:left="567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Трудовой кодекс РФ. 2009 (действующий документ).</w:t>
      </w:r>
    </w:p>
    <w:p w14:paraId="80000000">
      <w:pPr>
        <w:keepNext w:val="0"/>
        <w:keepLines w:val="0"/>
        <w:pageBreakBefore w:val="0"/>
        <w:widowControl w:val="0"/>
        <w:tabs>
          <w:tab w:leader="none" w:pos="1244" w:val="left"/>
        </w:tabs>
        <w:spacing w:after="0" w:before="0" w:line="264" w:lineRule="auto"/>
        <w:ind w:firstLine="0" w:left="720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5"/>
          <w:u w:val="none"/>
        </w:rPr>
      </w:pPr>
    </w:p>
    <w:p w14:paraId="81000000">
      <w:pPr>
        <w:spacing w:after="0" w:line="240" w:lineRule="auto"/>
        <w:ind w:firstLine="0" w:left="24"/>
        <w:rPr>
          <w:b w:val="1"/>
          <w:color w:val="000000"/>
          <w:sz w:val="24"/>
        </w:rPr>
      </w:pPr>
    </w:p>
    <w:p w14:paraId="82000000">
      <w:pPr>
        <w:spacing w:after="0" w:line="240" w:lineRule="auto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83000000">
      <w:pPr>
        <w:spacing w:after="0" w:line="240" w:lineRule="auto"/>
        <w:ind w:firstLine="284"/>
        <w:jc w:val="both"/>
        <w:rPr>
          <w:b w:val="1"/>
          <w:sz w:val="24"/>
          <w:highlight w:val="white"/>
        </w:rPr>
      </w:pPr>
    </w:p>
    <w:p w14:paraId="84000000">
      <w:pPr>
        <w:spacing w:after="0" w:line="240" w:lineRule="auto"/>
        <w:ind w:firstLine="284"/>
        <w:jc w:val="both"/>
        <w:rPr>
          <w:color w:val="000000"/>
          <w:sz w:val="24"/>
        </w:rPr>
      </w:pPr>
    </w:p>
    <w:p w14:paraId="85000000">
      <w:pPr>
        <w:spacing w:after="0" w:line="240" w:lineRule="auto"/>
        <w:ind w:firstLine="284"/>
        <w:jc w:val="center"/>
        <w:rPr>
          <w:b w:val="1"/>
          <w:color w:val="000000"/>
        </w:rPr>
      </w:pPr>
    </w:p>
    <w:sectPr>
      <w:footerReference r:id="rId1" w:type="default"/>
      <w:pgSz w:h="16848" w:orient="portrait" w:w="11908"/>
      <w:pgMar w:bottom="1134" w:footer="0" w:header="0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ind/>
      <w:jc w:val="center"/>
    </w:pPr>
    <w:r>
      <w:t xml:space="preserve"> </w:t>
    </w:r>
  </w:p>
  <w:p w14:paraId="02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  <w:p w14:paraId="03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Letter"/>
      <w:lvlText w:val="%1."/>
      <w:lvlJc w:val="left"/>
      <w:pPr>
        <w:ind w:hanging="282" w:left="79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hanging="260" w:left="1247"/>
      </w:pPr>
      <w:rPr>
        <w:rFonts w:ascii="Times New Roman" w:hAnsi="Times New Roman"/>
        <w:b w:val="0"/>
        <w:i w:val="0"/>
        <w:sz w:val="25"/>
      </w:rPr>
    </w:lvl>
    <w:lvl w:ilvl="2">
      <w:start w:val="0"/>
      <w:numFmt w:val="bullet"/>
      <w:lvlText w:val="•"/>
      <w:lvlJc w:val="left"/>
      <w:pPr>
        <w:ind w:hanging="260" w:left="2318"/>
      </w:pPr>
    </w:lvl>
    <w:lvl w:ilvl="3">
      <w:start w:val="0"/>
      <w:numFmt w:val="bullet"/>
      <w:lvlText w:val="•"/>
      <w:lvlJc w:val="left"/>
      <w:pPr>
        <w:ind w:hanging="260" w:left="3397"/>
      </w:pPr>
    </w:lvl>
    <w:lvl w:ilvl="4">
      <w:start w:val="0"/>
      <w:numFmt w:val="bullet"/>
      <w:lvlText w:val="•"/>
      <w:lvlJc w:val="left"/>
      <w:pPr>
        <w:ind w:hanging="260" w:left="4476"/>
      </w:pPr>
    </w:lvl>
    <w:lvl w:ilvl="5">
      <w:start w:val="0"/>
      <w:numFmt w:val="bullet"/>
      <w:lvlText w:val="•"/>
      <w:lvlJc w:val="left"/>
      <w:pPr>
        <w:ind w:hanging="260" w:left="5555"/>
      </w:pPr>
    </w:lvl>
    <w:lvl w:ilvl="6">
      <w:start w:val="0"/>
      <w:numFmt w:val="bullet"/>
      <w:lvlText w:val="•"/>
      <w:lvlJc w:val="left"/>
      <w:pPr>
        <w:ind w:hanging="260" w:left="6633"/>
      </w:pPr>
    </w:lvl>
    <w:lvl w:ilvl="7">
      <w:start w:val="0"/>
      <w:numFmt w:val="bullet"/>
      <w:lvlText w:val="•"/>
      <w:lvlJc w:val="left"/>
      <w:pPr>
        <w:ind w:hanging="260" w:left="7712"/>
      </w:pPr>
    </w:lvl>
    <w:lvl w:ilvl="8">
      <w:start w:val="0"/>
      <w:numFmt w:val="bullet"/>
      <w:lvlText w:val="•"/>
      <w:lvlJc w:val="left"/>
      <w:pPr>
        <w:ind w:hanging="260" w:left="8791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8_ch" w:type="character">
    <w:name w:val="heading 3"/>
    <w:basedOn w:val="Style_1_ch"/>
    <w:link w:val="Style_8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1"/>
    <w:next w:val="Style_1"/>
    <w:link w:val="Style_10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0_ch" w:type="character">
    <w:name w:val="heading 5"/>
    <w:basedOn w:val="Style_1_ch"/>
    <w:link w:val="Style_10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1_ch" w:type="character">
    <w:name w:val="heading 1"/>
    <w:basedOn w:val="Style_1_ch"/>
    <w:link w:val="Style_11"/>
    <w:rPr>
      <w:rFonts w:ascii="Cambria" w:hAnsi="Cambria"/>
      <w:b w:val="1"/>
      <w:color w:val="365F91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1"/>
    <w:next w:val="Style_1"/>
    <w:link w:val="Style_19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9_ch" w:type="character">
    <w:name w:val="Subtitle"/>
    <w:basedOn w:val="Style_1_ch"/>
    <w:link w:val="Style_19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0" w:type="paragraph">
    <w:name w:val="toc 10"/>
    <w:next w:val="Style_1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basedOn w:val="Style_1"/>
    <w:next w:val="Style_1"/>
    <w:link w:val="Style_21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1_ch" w:type="character">
    <w:name w:val="Title"/>
    <w:basedOn w:val="Style_1_ch"/>
    <w:link w:val="Style_21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" w:type="paragraph">
    <w:name w:val="heading 4"/>
    <w:basedOn w:val="Style_1"/>
    <w:next w:val="Style_1"/>
    <w:link w:val="Style_2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2_ch" w:type="character">
    <w:name w:val="heading 4"/>
    <w:basedOn w:val="Style_1_ch"/>
    <w:link w:val="Style_22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3" w:type="paragraph">
    <w:name w:val="heading 2"/>
    <w:basedOn w:val="Style_1"/>
    <w:next w:val="Style_1"/>
    <w:link w:val="Style_23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3_ch" w:type="character">
    <w:name w:val="heading 2"/>
    <w:basedOn w:val="Style_1_ch"/>
    <w:link w:val="Style_23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4" w:type="paragraph">
    <w:name w:val="heading 6"/>
    <w:basedOn w:val="Style_1"/>
    <w:next w:val="Style_1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1_ch"/>
    <w:link w:val="Style_24"/>
    <w:rPr>
      <w:b w:val="1"/>
      <w:sz w:val="20"/>
    </w:rPr>
  </w:style>
  <w:style w:default="1" w:styleId="Style_25" w:type="table">
    <w:name w:val="Table Normal"/>
  </w:style>
  <w:style w:styleId="Style_3" w:type="table">
    <w:basedOn w:val="Style_25"/>
    <w:semiHidden w:val="1"/>
    <w:unhideWhenUsed w:val="1"/>
    <w:pPr>
      <w:widowControl w:val="0"/>
      <w:ind/>
    </w:pPr>
    <w:rPr>
      <w:rFonts w:ascii="XO Thames" w:hAnsi="XO Thames"/>
      <w:color w:val="000000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2024-03-21T08:17:25Z</dcterms:modified>
</cp:coreProperties>
</file>