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4.wmf" ContentType="image/x-wmf"/>
  <Override PartName="/word/media/image3.wmf" ContentType="image/x-wmf"/>
  <Override PartName="/word/media/image6.png" ContentType="image/png"/>
  <Override PartName="/word/media/image2.png" ContentType="image/png"/>
  <Override PartName="/word/media/image5.png" ContentType="image/png"/>
  <Override PartName="/word/media/image1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6.png" ContentType="image/png"/>
  <Override PartName="/word/media/image15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8.png" ContentType="image/png"/>
  <Override PartName="/word/media/image17.png" ContentType="image/png"/>
  <Override PartName="/word/media/image19.png" ContentType="image/png"/>
  <Override PartName="/word/media/image20.png" ContentType="image/png"/>
  <Override PartName="/word/media/image46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10.png" ContentType="image/png"/>
  <Override PartName="/word/media/image35.png" ContentType="image/png"/>
  <Override PartName="/word/media/image36.png" ContentType="image/png"/>
  <Override PartName="/word/media/image11.png" ContentType="image/png"/>
  <Override PartName="/word/media/image39.wmf" ContentType="image/x-wmf"/>
  <Override PartName="/word/media/image37.wmf" ContentType="image/x-wmf"/>
  <Override PartName="/word/media/image44.wmf" ContentType="image/x-wmf"/>
  <Override PartName="/word/media/image38.wmf" ContentType="image/x-wmf"/>
  <Override PartName="/word/media/image45.wmf" ContentType="image/x-wmf"/>
  <Override PartName="/word/media/image43.wmf" ContentType="image/x-wmf"/>
  <Override PartName="/word/media/image42.wmf" ContentType="image/x-wmf"/>
  <Override PartName="/word/media/image41.wmf" ContentType="image/x-wmf"/>
  <Override PartName="/word/media/image40.wmf" ContentType="image/x-wmf"/>
  <Override PartName="/word/header1.xml" ContentType="application/vnd.openxmlformats-officedocument.wordprocessingml.head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PT Astra Serif" w:hAnsi="PT Astra Serif"/>
          <w:b/>
          <w:b/>
          <w:sz w:val="24"/>
        </w:rPr>
      </w:pPr>
      <w:r>
        <w:rPr>
          <w:rFonts w:ascii="PT Astra Serif" w:hAnsi="PT Astra Serif"/>
        </w:rPr>
      </w:r>
    </w:p>
    <w:p>
      <w:pPr>
        <w:pStyle w:val="Normal"/>
        <w:tabs>
          <w:tab w:val="clear" w:pos="708"/>
          <w:tab w:val="left" w:pos="0" w:leader="none"/>
        </w:tabs>
        <w:spacing w:lineRule="auto" w:line="360" w:before="0" w:after="0"/>
        <w:jc w:val="center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13.02.11 Техническая эксплуатация и обслуживание электрического и электромеханического оборудования (по отраслям)</w:t>
      </w:r>
    </w:p>
    <w:p>
      <w:pPr>
        <w:pStyle w:val="Normal"/>
        <w:spacing w:lineRule="auto" w:line="360" w:before="0" w:after="0"/>
        <w:jc w:val="center"/>
        <w:rPr>
          <w:rFonts w:ascii="PT Astra Serif" w:hAnsi="PT Astra Serif"/>
          <w:b/>
          <w:b/>
          <w:sz w:val="24"/>
        </w:rPr>
      </w:pPr>
      <w:r>
        <w:rPr>
          <w:rFonts w:ascii="PT Astra Serif" w:hAnsi="PT Astra Serif"/>
          <w:b/>
          <w:sz w:val="24"/>
        </w:rPr>
        <w:t>Перечень теоретических вопросов</w:t>
      </w:r>
    </w:p>
    <w:p>
      <w:pPr>
        <w:pStyle w:val="Normal"/>
        <w:spacing w:lineRule="auto" w:line="360" w:before="0" w:after="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 xml:space="preserve">Вопрос на выбор ответа (20) </w:t>
      </w:r>
    </w:p>
    <w:tbl>
      <w:tblPr>
        <w:tblStyle w:val="Style_7"/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9176"/>
      </w:tblGrid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Информационная культура человека на современном этапе в основном определяется: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совокупностью его умений программировать на языках высокого уровня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его знаниями основных устройств компьютера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совокупностью его навыков использования прикладного программного обеспечения для создания необходимых документов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уровнем понимания закономерностей информационных процессов в природе и обществе, качеством знаний основ компьютерной грамотности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Комплекс стандартов – это: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документ, принятый органами власти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документ, в котором устанавливаются характеристики продукции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деятельность по установлению норм, требований, характеристик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совокупность взаимосвязанных стандартов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Какой вид инструктажа по охране труда проводится с работником перед выполнением работ, не связанных с его функциональными обязанностями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целевой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первичный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внеплановый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повторный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Срочный трудовой договор может заключаться на срок не более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a) 5 лет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2-х лет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3-х лет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4- лет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Правоспособность наступает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с рождения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16 лет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с 14 лет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с 18 лет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Компенсационную обмотку включают последовательно с обмоткой якоря для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уменьшения вредного влияния реакции якоря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уменьшения потерь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создания основного магнитного поля в машине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обеспечения равномерного распределения магнитной индукции в воздушном зазоре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уменьшения коммутации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Какие две величины служат мерой пластичности?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а)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ψ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 и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δ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б)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δ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 и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τ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в)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φ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 и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ρ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г)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ρ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 и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ψ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Метод оценки уровня качества продукции, позволяющий оценивать годность деталей одновременно по нескольким параметрам, называют: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комплексный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дифференцированный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прямой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косвенный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Погрешностью результата измерений называется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отклонение результатов измерений от истинного (действительного) значения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разность показаний двух разных приборов, полученные на одной той же пробе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отклонение результатов последовательных измерений одной и той же пробы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разность показаний двух однотипных приборов, полученные на одной той же пробе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Укажите условное обозначение варикапа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564515" cy="993775"/>
                  <wp:effectExtent l="0" t="0" r="0" b="0"/>
                  <wp:docPr id="1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10276" t="28831" r="68937" b="9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9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Для какой цепи переменного тока построена векторная диаграмма, представленная на рисунке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90"/>
              <w:gridCol w:w="4470"/>
            </w:tblGrid>
            <w:tr>
              <w:trPr/>
              <w:tc>
                <w:tcPr>
                  <w:tcW w:w="4490" w:type="dxa"/>
                  <w:tcBorders/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-111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активно-емкостной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-111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активно-индуктивной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-111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активной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-111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емкостной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-111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д) индуктивной</w:t>
                  </w:r>
                </w:p>
              </w:tc>
              <w:tc>
                <w:tcPr>
                  <w:tcW w:w="4470" w:type="dxa"/>
                  <w:tcBorders/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556260" cy="787400"/>
                        <wp:effectExtent l="0" t="0" r="0" b="0"/>
                        <wp:docPr id="2" name="Picture 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/>
                                <a:srcRect l="66553" t="42004" r="18301" b="177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260" cy="787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Какой электрический угол соответствует периоду переменного тока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2π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π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2π/3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π/2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4π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При симметричной нагрузке, соединенной по схеме «звезда», линейный и фазный ток связаны соотношением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I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  <w:vertAlign w:val="subscript"/>
              </w:rPr>
              <w:t>Ф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 = IЛ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I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  <w:vertAlign w:val="subscript"/>
              </w:rPr>
              <w:t>Ф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 = </w:t>
            </w: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231775" cy="231775"/>
                  <wp:effectExtent l="0" t="0" r="0" b="0"/>
                  <wp:docPr id="3" name="Pictur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IЛ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I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  <w:vertAlign w:val="subscript"/>
              </w:rPr>
              <w:t>Ф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 = IЛ/</w:t>
            </w: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231775" cy="231775"/>
                  <wp:effectExtent l="0" t="0" r="0" b="0"/>
                  <wp:docPr id="4" name="Picture 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нет правильного ответа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Резонанс тока – это режим работы электрической цепи при параллельном соединении участков индуктивностью и ёмкостью,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характеризующийся равенством индуктивной и ёмкостной проводимостей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характеризующийся равенством активной и ёмкостной проводимостей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характеризующийся равенством индуктивной, активной и ёмкостной проводимостей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характеризующийся неравенством индуктивной и ёмкостной проводимостей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Первый закон Кирхгофа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в ветвях, образующих узел электрической цепи, алгебраическая сумма токов равна нулю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если одна из точек цепи заземлена, то считают равным нулю потенциал этой заземленной точки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алгебраическая сумма ЭДС равна нулю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электрическое сопротивление каждого элемента участка цепи наглядно представляют в виде потенциальной диаграммы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Максимальная величина тока на вторичной обмотке трансформатора тока равна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5А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2,5А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5мА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5кА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Поверка приборов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тарировка шкалы образцового прибора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периодическое сопоставление показаний поверяемых приборов и образцовых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обследование и определение погрешности поверяемого прибора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определение погрешности образцового прибора с помощью поверяемого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Для измерения прямым методом тока в цепи используют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ваттметр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вольтметр и амперметр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вольтметр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амперметр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Прибор какой системы можно использовать для измерения напряжения тока и мощности в цепях постоянного и переменного тока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электромагнитной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индукционной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электродинамической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магнитоэлектрической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jc w:val="lef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Действующей электроустановкой являются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исправная электроустановка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электроустановка или ее часть, которая находится под напряжением, либо на которую напряжение может быть подано включением коммутационных аппаратов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электроустановка, которая находится в постоянной эксплуатации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электроустановка, которая находится под напряжением не ниже 220 В</w:t>
            </w:r>
          </w:p>
        </w:tc>
      </w:tr>
    </w:tbl>
    <w:p>
      <w:pPr>
        <w:pStyle w:val="Normal"/>
        <w:spacing w:lineRule="auto" w:line="240" w:before="0" w:after="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</w:r>
    </w:p>
    <w:p>
      <w:pPr>
        <w:pStyle w:val="Normal"/>
        <w:spacing w:lineRule="auto" w:line="360" w:before="0" w:after="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Открытая форма вопроса (30)</w:t>
      </w:r>
    </w:p>
    <w:tbl>
      <w:tblPr>
        <w:tblStyle w:val="Style_7"/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9176"/>
      </w:tblGrid>
      <w:tr>
        <w:trPr>
          <w:trHeight w:val="56" w:hRule="atLeast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Совокупностью условий и правил обмена информацией называется …….</w:t>
            </w:r>
          </w:p>
        </w:tc>
      </w:tr>
      <w:tr>
        <w:trPr>
          <w:trHeight w:val="56" w:hRule="atLeast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Графика с представлением изображения в виде совокупностей точек называется …….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Устройство, которое выглядит как удлинитель, имеет несколько розеток и один или несколько выключателей называется.................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Процесс переноса стоимости основных фондов на себестоимость выпускаемой продукции называется …….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Опытное нахождение значения физической величины с помощью технических средств называется …….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Отношение абсолютной погрешности прибора к истинному значению измеряемой величины называется ……. погрешностью прибора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Текущие затраты в денежном выражении на производство и реализацию продукции называются …..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На границах зон потенциально опасных производственных факторов устанавливаются ……. ограждения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Поражение организма человека электрическим током, в результате которого наступила клиническая смерть, называется электрическим ударом ……. степени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  <w:highlight w:val="white"/>
              </w:rPr>
              <w:t>…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  <w:highlight w:val="white"/>
              </w:rPr>
              <w:t>.. инструктаж на рабочем месте проводится для всех работников до начала самостоятельной работы непосредственно на рабочем месте, а также для лиц, проходящих производственную практику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Договор, заключенный лицом, осуществляющим предпринимательскую или иную приносящую доход деятельность, и устанавливающий его обязанности по продаже товаров, выполнению работ либо оказанию услуг, которые такое лицо по характеру своей деятельности должно осуществлять в отношении каждого, кто к нему обратился, называется ………… 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spacing w:lineRule="auto" w:line="240" w:before="0" w:after="0"/>
              <w:ind w:left="720" w:right="0" w:hanging="0"/>
              <w:contextualSpacing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Социально-экономическое явление, при котором часть трудоспособного населения не занята в производстве товаров и услуг это ……... 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……… 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- это статическое электромагнитное устройство, преобразующие электрическую энергию переменного тока с параметрами U1, I1 в электрическую энергию переменного тока с параметрами U2, I2 той же частоты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Противодействие, которое атомы и молекулы проводника оказывают направленному движению зарядов в проводнике, называется электрическим ……….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Погрешность равная разности между результатом измерения и истинным значением измеряемой величины, называется ……..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Преднамеренное электрическое соединение с землей или ее эквивалентом металлических нетоковедущих частей электроустановок, называется ……..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……… – 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это система организационных и технических мероприятий и средств, обеспечивающих защиту людей от воздействия электрического тока, электрической дуги, электромагнитного поля и статического электричества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Электрическое соединение нетоковедущих частей оборудования с заземленной нейтралью вторичной обмотки трехфазного понижающего трансформатора или генератора называется ……….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Ток, вызывающий судорожное сокращение мышц руки, в которой зажат проводник,  называется …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Сила тока - это количество ……. проходящее через поперечное сечение проводника в единицу времени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При измерении реактивной мощности методом трёх ваттметров обмотка напряжения включается на ……. напряжение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Электрический контакт людей или животных с токоведущими частями, находящимися под напряжением, называется ……. прикосновением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Коэффициент мощности равен 1 при ……. нагрузке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Габариты автотрансформатора зависят от ……. мощности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Время нахождения персонала в зонах действия электрического поля промышленной частоты напряжённостью от 20 до 25 кВ/м не должно превышать ……. минут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Помещения, в которых под воздействием различных тепловых излучений температура постоянно или периодически (более 1 суток) превышает +35 (например, помещения с сушилками, обжигательными печами, котельные) называются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 двухэлементных счётчиках используется ……. вращающих элемента одноэлементного счётчика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При соединении симметричной нагрузки звездой, линейное напряжение 380В, фазное напряжение равно …… В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Полное сопротивление цепи переменного тока, в которую включена катушка, активное сопротивление которой 3Ом, а реактивное 4Ом, равно ….. Ом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…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.. называется отклонение результата измерения от истинного значения измеряемой величины</w:t>
            </w:r>
          </w:p>
        </w:tc>
      </w:tr>
    </w:tbl>
    <w:p>
      <w:pPr>
        <w:pStyle w:val="Normal"/>
        <w:spacing w:lineRule="auto" w:line="240" w:before="0" w:after="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</w:r>
    </w:p>
    <w:p>
      <w:pPr>
        <w:pStyle w:val="Normal"/>
        <w:spacing w:lineRule="auto" w:line="360" w:before="0" w:after="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Вопрос на соответствие (30)</w:t>
      </w:r>
    </w:p>
    <w:tbl>
      <w:tblPr>
        <w:tblStyle w:val="Style_7"/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9176"/>
      </w:tblGrid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соответствие между программными продуктами и их функционалом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720"/>
              <w:gridCol w:w="3240"/>
            </w:tblGrid>
            <w:tr>
              <w:trPr/>
              <w:tc>
                <w:tcPr>
                  <w:tcW w:w="5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numPr>
                      <w:ilvl w:val="0"/>
                      <w:numId w:val="2"/>
                    </w:numPr>
                    <w:tabs>
                      <w:tab w:val="clear" w:pos="708"/>
                      <w:tab w:val="left" w:pos="227" w:leader="none"/>
                    </w:tabs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Текстовый редактор</w:t>
                  </w:r>
                </w:p>
              </w:tc>
              <w:tc>
                <w:tcPr>
                  <w:tcW w:w="3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numPr>
                      <w:ilvl w:val="0"/>
                      <w:numId w:val="3"/>
                    </w:numPr>
                    <w:spacing w:lineRule="auto" w:line="240" w:before="0" w:after="0"/>
                    <w:ind w:left="459" w:right="0" w:hanging="0"/>
                    <w:contextualSpacing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Microsoft Excel </w:t>
                  </w:r>
                </w:p>
              </w:tc>
            </w:tr>
            <w:tr>
              <w:trPr/>
              <w:tc>
                <w:tcPr>
                  <w:tcW w:w="5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numPr>
                      <w:ilvl w:val="0"/>
                      <w:numId w:val="2"/>
                    </w:numPr>
                    <w:tabs>
                      <w:tab w:val="clear" w:pos="708"/>
                      <w:tab w:val="left" w:pos="209" w:leader="none"/>
                    </w:tabs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Табличный процессор</w:t>
                  </w:r>
                </w:p>
              </w:tc>
              <w:tc>
                <w:tcPr>
                  <w:tcW w:w="3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numPr>
                      <w:ilvl w:val="0"/>
                      <w:numId w:val="3"/>
                    </w:numPr>
                    <w:spacing w:lineRule="auto" w:line="240" w:before="0" w:after="0"/>
                    <w:ind w:left="459" w:right="0" w:hanging="0"/>
                    <w:contextualSpacing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Microsoft Word</w:t>
                  </w:r>
                </w:p>
              </w:tc>
            </w:tr>
            <w:tr>
              <w:trPr/>
              <w:tc>
                <w:tcPr>
                  <w:tcW w:w="5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numPr>
                      <w:ilvl w:val="0"/>
                      <w:numId w:val="2"/>
                    </w:numPr>
                    <w:tabs>
                      <w:tab w:val="clear" w:pos="708"/>
                      <w:tab w:val="left" w:pos="209" w:leader="none"/>
                    </w:tabs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Редактор создания баз данных</w:t>
                  </w:r>
                </w:p>
              </w:tc>
              <w:tc>
                <w:tcPr>
                  <w:tcW w:w="3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numPr>
                      <w:ilvl w:val="0"/>
                      <w:numId w:val="3"/>
                    </w:numPr>
                    <w:spacing w:lineRule="auto" w:line="240" w:before="0" w:after="0"/>
                    <w:ind w:left="459" w:right="0" w:hanging="0"/>
                    <w:contextualSpacing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Microsoft Access</w:t>
                  </w:r>
                </w:p>
              </w:tc>
            </w:tr>
            <w:tr>
              <w:trPr/>
              <w:tc>
                <w:tcPr>
                  <w:tcW w:w="5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numPr>
                      <w:ilvl w:val="0"/>
                      <w:numId w:val="2"/>
                    </w:numPr>
                    <w:tabs>
                      <w:tab w:val="clear" w:pos="708"/>
                      <w:tab w:val="left" w:pos="209" w:leader="none"/>
                    </w:tabs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Редактор создания презентаций</w:t>
                  </w:r>
                </w:p>
              </w:tc>
              <w:tc>
                <w:tcPr>
                  <w:tcW w:w="3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numPr>
                      <w:ilvl w:val="0"/>
                      <w:numId w:val="3"/>
                    </w:numPr>
                    <w:spacing w:lineRule="auto" w:line="240" w:before="0" w:after="0"/>
                    <w:ind w:left="459" w:right="0" w:hanging="0"/>
                    <w:contextualSpacing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Microsoft Publisher </w:t>
                  </w:r>
                </w:p>
              </w:tc>
            </w:tr>
            <w:tr>
              <w:trPr/>
              <w:tc>
                <w:tcPr>
                  <w:tcW w:w="5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numPr>
                      <w:ilvl w:val="0"/>
                      <w:numId w:val="2"/>
                    </w:numPr>
                    <w:tabs>
                      <w:tab w:val="clear" w:pos="708"/>
                      <w:tab w:val="left" w:pos="209" w:leader="none"/>
                    </w:tabs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Графический редактор</w:t>
                  </w:r>
                </w:p>
              </w:tc>
              <w:tc>
                <w:tcPr>
                  <w:tcW w:w="3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numPr>
                      <w:ilvl w:val="0"/>
                      <w:numId w:val="3"/>
                    </w:numPr>
                    <w:spacing w:lineRule="auto" w:line="240" w:before="0" w:after="0"/>
                    <w:ind w:left="459" w:right="0" w:hanging="0"/>
                    <w:contextualSpacing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Paint</w:t>
                  </w:r>
                </w:p>
              </w:tc>
            </w:tr>
            <w:tr>
              <w:trPr/>
              <w:tc>
                <w:tcPr>
                  <w:tcW w:w="57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numPr>
                      <w:ilvl w:val="0"/>
                      <w:numId w:val="2"/>
                    </w:numPr>
                    <w:tabs>
                      <w:tab w:val="clear" w:pos="708"/>
                      <w:tab w:val="left" w:pos="209" w:leader="none"/>
                    </w:tabs>
                    <w:spacing w:lineRule="auto" w:line="240" w:before="0" w:after="0"/>
                    <w:ind w:left="0" w:right="0" w:hanging="0"/>
                    <w:contextualSpacing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Редактор, позволяющий создавать публикации, бюллетени, визитки, открытки и т.д.</w:t>
                  </w:r>
                </w:p>
              </w:tc>
              <w:tc>
                <w:tcPr>
                  <w:tcW w:w="3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numPr>
                      <w:ilvl w:val="0"/>
                      <w:numId w:val="3"/>
                    </w:numPr>
                    <w:spacing w:lineRule="auto" w:line="240" w:before="0" w:after="0"/>
                    <w:ind w:left="459" w:right="0" w:hanging="0"/>
                    <w:contextualSpacing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Microsoft Power Point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4"/>
              </w:rPr>
            </w:pPr>
            <w:r>
              <w:rPr>
                <w:rFonts w:ascii="PT Astra Serif" w:hAnsi="PT Astra Serif"/>
                <w:sz w:val="4"/>
              </w:rPr>
            </w:r>
          </w:p>
        </w:tc>
      </w:tr>
      <w:tr>
        <w:trPr>
          <w:trHeight w:val="884" w:hRule="atLeast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соответствие между названием и определением</w:t>
            </w:r>
          </w:p>
          <w:tbl>
            <w:tblPr>
              <w:tblStyle w:val="Style_3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442"/>
              <w:gridCol w:w="5518"/>
            </w:tblGrid>
            <w:tr>
              <w:trPr/>
              <w:tc>
                <w:tcPr>
                  <w:tcW w:w="3442" w:type="dxa"/>
                  <w:tcBorders/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Характеристикой холостого хода называется</w:t>
                  </w:r>
                </w:p>
              </w:tc>
              <w:tc>
                <w:tcPr>
                  <w:tcW w:w="5518" w:type="dxa"/>
                  <w:tcBorders/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Зависимость напряжения на выходе генератора в режиме холостого хода от тока возбуждения</w:t>
                  </w:r>
                </w:p>
              </w:tc>
            </w:tr>
            <w:tr>
              <w:trPr/>
              <w:tc>
                <w:tcPr>
                  <w:tcW w:w="3442" w:type="dxa"/>
                  <w:tcBorders/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Нагрузочной характеристикой называется</w:t>
                  </w:r>
                </w:p>
              </w:tc>
              <w:tc>
                <w:tcPr>
                  <w:tcW w:w="5518" w:type="dxa"/>
                  <w:tcBorders/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Зависимость тока возбуждения от тока нагрузки при неизменном напряжении на выходе генератора</w:t>
                  </w:r>
                </w:p>
              </w:tc>
            </w:tr>
            <w:tr>
              <w:trPr/>
              <w:tc>
                <w:tcPr>
                  <w:tcW w:w="3442" w:type="dxa"/>
                  <w:tcBorders/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Внешней характеристикой называется</w:t>
                  </w:r>
                </w:p>
              </w:tc>
              <w:tc>
                <w:tcPr>
                  <w:tcW w:w="5518" w:type="dxa"/>
                  <w:tcBorders/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Зависимость напряжения на выходе генератора при работе с нагрузкой от тока возбуждения</w:t>
                  </w:r>
                </w:p>
              </w:tc>
            </w:tr>
            <w:tr>
              <w:trPr/>
              <w:tc>
                <w:tcPr>
                  <w:tcW w:w="3442" w:type="dxa"/>
                  <w:tcBorders/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Регулировочной характеристикой называется</w:t>
                  </w:r>
                </w:p>
              </w:tc>
              <w:tc>
                <w:tcPr>
                  <w:tcW w:w="5518" w:type="dxa"/>
                  <w:tcBorders/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Зависимость напряжения на выходе генератора от тока нагрузки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4"/>
              </w:rPr>
            </w:pPr>
            <w:r>
              <w:rPr>
                <w:rFonts w:ascii="PT Astra Serif" w:hAnsi="PT Astra Serif"/>
                <w:sz w:val="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Сопоставьте определения и понятия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98"/>
              <w:gridCol w:w="6762"/>
            </w:tblGrid>
            <w:tr>
              <w:trPr>
                <w:trHeight w:val="414" w:hRule="atLeast"/>
              </w:trPr>
              <w:tc>
                <w:tcPr>
                  <w:tcW w:w="2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Стандарт</w:t>
                  </w:r>
                </w:p>
              </w:tc>
              <w:tc>
                <w:tcPr>
                  <w:tcW w:w="6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tabs>
                      <w:tab w:val="clear" w:pos="708"/>
                      <w:tab w:val="left" w:pos="1982" w:leader="none"/>
                    </w:tabs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Образец, эталон, модель, принимаемые за исходные для сопоставления с ними других подобных объектов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Сертификат</w:t>
                  </w:r>
                </w:p>
              </w:tc>
              <w:tc>
                <w:tcPr>
                  <w:tcW w:w="6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Официальный документ, в котором зафиксировано, что продукция (объект сертификации) соответствует определенным требованиям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Технические условия</w:t>
                  </w:r>
                </w:p>
              </w:tc>
              <w:tc>
                <w:tcPr>
                  <w:tcW w:w="6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Документ, устанавливающий требования к той или иной продукции, предписывающий те или иные процедуры, посредством которых устанавливается соблюдение данных требований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1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Технический регламент</w:t>
                  </w:r>
                </w:p>
              </w:tc>
              <w:tc>
                <w:tcPr>
                  <w:tcW w:w="6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Документ (нормативный правовой акт), устанавливающий обязательные для применения и исполнения требования к объектам технического регулирования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соответствие между классами условий труда и их определениями</w:t>
            </w:r>
          </w:p>
          <w:tbl>
            <w:tblPr>
              <w:tblStyle w:val="Style_3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731"/>
              <w:gridCol w:w="6229"/>
            </w:tblGrid>
            <w:tr>
              <w:trPr/>
              <w:tc>
                <w:tcPr>
                  <w:tcW w:w="2731" w:type="dxa"/>
                  <w:tcBorders/>
                </w:tcPr>
                <w:p>
                  <w:pPr>
                    <w:pStyle w:val="Normal"/>
                    <w:widowControl/>
                    <w:tabs>
                      <w:tab w:val="clear" w:pos="708"/>
                      <w:tab w:val="left" w:pos="584" w:leader="none"/>
                    </w:tabs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1) 1 класс – оптимальные условия труда</w:t>
                  </w:r>
                </w:p>
              </w:tc>
              <w:tc>
                <w:tcPr>
                  <w:tcW w:w="6229" w:type="dxa"/>
                  <w:tcBorders/>
                </w:tcPr>
                <w:p>
                  <w:pPr>
                    <w:pStyle w:val="Normal"/>
                    <w:widowControl/>
                    <w:tabs>
                      <w:tab w:val="clear" w:pos="708"/>
                      <w:tab w:val="left" w:pos="584" w:leader="none"/>
                    </w:tabs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Характеризуются такими уровнями вредных производственных факторов, воздействие которых в течение рабочей смены или даже ее части создает угрозу жизни, высокий риск тяжелых форм острых профессиональных заболеваний</w:t>
                  </w:r>
                </w:p>
              </w:tc>
            </w:tr>
            <w:tr>
              <w:trPr/>
              <w:tc>
                <w:tcPr>
                  <w:tcW w:w="2731" w:type="dxa"/>
                  <w:tcBorders/>
                </w:tcPr>
                <w:p>
                  <w:pPr>
                    <w:pStyle w:val="Normal"/>
                    <w:widowControl/>
                    <w:tabs>
                      <w:tab w:val="clear" w:pos="708"/>
                      <w:tab w:val="left" w:pos="584" w:leader="none"/>
                    </w:tabs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2) 2 класс – допустимые условия труда</w:t>
                  </w:r>
                </w:p>
              </w:tc>
              <w:tc>
                <w:tcPr>
                  <w:tcW w:w="6229" w:type="dxa"/>
                  <w:tcBorders/>
                </w:tcPr>
                <w:p>
                  <w:pPr>
                    <w:pStyle w:val="Normal"/>
                    <w:widowControl/>
                    <w:tabs>
                      <w:tab w:val="clear" w:pos="708"/>
                      <w:tab w:val="left" w:pos="584" w:leader="none"/>
                    </w:tabs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Условия, при которых сохраняется не только здоровье работающих, но и создаются условия для высокой работоспособности</w:t>
                  </w:r>
                </w:p>
              </w:tc>
            </w:tr>
            <w:tr>
              <w:trPr/>
              <w:tc>
                <w:tcPr>
                  <w:tcW w:w="2731" w:type="dxa"/>
                  <w:tcBorders/>
                </w:tcPr>
                <w:p>
                  <w:pPr>
                    <w:pStyle w:val="Normal"/>
                    <w:widowControl/>
                    <w:tabs>
                      <w:tab w:val="clear" w:pos="708"/>
                      <w:tab w:val="left" w:pos="584" w:leader="none"/>
                    </w:tabs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3) 3 класс – вредные условия труда</w:t>
                  </w:r>
                </w:p>
              </w:tc>
              <w:tc>
                <w:tcPr>
                  <w:tcW w:w="6229" w:type="dxa"/>
                  <w:tcBorders/>
                </w:tcPr>
                <w:p>
                  <w:pPr>
                    <w:pStyle w:val="Normal"/>
                    <w:widowControl/>
                    <w:tabs>
                      <w:tab w:val="clear" w:pos="708"/>
                      <w:tab w:val="left" w:pos="584" w:leader="none"/>
                    </w:tabs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Характеризуются такими уровнями факторов среды, которые не превышают установленных гигиеническими нормативами для рабочих мест, при этом возможные изменения функционального состояния организма проходят за время перерывов на отдых или к началу следующей смены и не оказывают неблагоприятного воздействия на состояние здоровья работающих и их потомство</w:t>
                  </w:r>
                </w:p>
              </w:tc>
            </w:tr>
            <w:tr>
              <w:trPr/>
              <w:tc>
                <w:tcPr>
                  <w:tcW w:w="2731" w:type="dxa"/>
                  <w:tcBorders/>
                </w:tcPr>
                <w:p>
                  <w:pPr>
                    <w:pStyle w:val="Normal"/>
                    <w:widowControl/>
                    <w:tabs>
                      <w:tab w:val="clear" w:pos="708"/>
                      <w:tab w:val="left" w:pos="584" w:leader="none"/>
                    </w:tabs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4) 4 класс – опасные (экстремальные условия труда)</w:t>
                  </w:r>
                </w:p>
              </w:tc>
              <w:tc>
                <w:tcPr>
                  <w:tcW w:w="6229" w:type="dxa"/>
                  <w:tcBorders/>
                </w:tcPr>
                <w:p>
                  <w:pPr>
                    <w:pStyle w:val="Normal"/>
                    <w:widowControl/>
                    <w:tabs>
                      <w:tab w:val="clear" w:pos="708"/>
                      <w:tab w:val="left" w:pos="584" w:leader="none"/>
                    </w:tabs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Характеризуются наличием факторов, превышающих гигиенические нормативы и оказывающих воздействие на организм работающего и (или его потомство)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соответствие между названием электрической машиной и её схемой включения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40"/>
              <w:gridCol w:w="2240"/>
              <w:gridCol w:w="2240"/>
              <w:gridCol w:w="2240"/>
            </w:tblGrid>
            <w:tr>
              <w:trPr>
                <w:trHeight w:val="414" w:hRule="atLeast"/>
              </w:trPr>
              <w:tc>
                <w:tcPr>
                  <w:tcW w:w="2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Асинхронная машина с фазным ротором</w:t>
                  </w:r>
                </w:p>
              </w:tc>
              <w:tc>
                <w:tcPr>
                  <w:tcW w:w="2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Синхронная машина с электромагнитным возбуждением</w:t>
                  </w:r>
                </w:p>
              </w:tc>
              <w:tc>
                <w:tcPr>
                  <w:tcW w:w="2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Асинхронная машина с короткозамкнутым ротором</w:t>
                  </w:r>
                </w:p>
              </w:tc>
              <w:tc>
                <w:tcPr>
                  <w:tcW w:w="2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Машина постоянного тока параллельного возбуждения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864235" cy="924560"/>
                        <wp:effectExtent l="0" t="0" r="0" b="0"/>
                        <wp:docPr id="5" name="Picture 10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10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3219" t="51902" r="83008" b="227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4235" cy="924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1080135" cy="929640"/>
                        <wp:effectExtent l="0" t="0" r="0" b="0"/>
                        <wp:docPr id="6" name="Picture 12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12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19785" t="54684" r="64167" b="221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135" cy="929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847725" cy="955675"/>
                        <wp:effectExtent l="0" t="0" r="0" b="0"/>
                        <wp:docPr id="7" name="Picture 1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1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39628" t="51969" r="45833" b="223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25" cy="955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730885" cy="729615"/>
                        <wp:effectExtent l="0" t="0" r="0" b="0"/>
                        <wp:docPr id="8" name="Picture 16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16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56999" t="54443" r="29785" b="239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0885" cy="729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соответствие между физическими величинами и их единицами измерения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80"/>
              <w:gridCol w:w="4480"/>
            </w:tblGrid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Магнитный поток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Вб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Момент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Н м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Давление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Па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Объём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л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5. Плотность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д) Кг/м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6. Сила тока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е) А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7. Частота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ж) Гц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4"/>
              </w:rPr>
            </w:pPr>
            <w:r>
              <w:rPr>
                <w:rFonts w:ascii="PT Astra Serif" w:hAnsi="PT Astra Serif"/>
                <w:sz w:val="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Установите соответствие между названием и единицей измерения 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80"/>
              <w:gridCol w:w="4480"/>
            </w:tblGrid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Сила тока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В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Напряжение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См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Сопротивление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А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Проводимость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Вт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5. Активная мощность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д) Ом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соответствие между понятием и определением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52"/>
              <w:gridCol w:w="5908"/>
            </w:tblGrid>
            <w:tr>
              <w:trPr>
                <w:trHeight w:val="414" w:hRule="atLeast"/>
              </w:trPr>
              <w:tc>
                <w:tcPr>
                  <w:tcW w:w="3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Электрический удар</w:t>
                  </w:r>
                </w:p>
              </w:tc>
              <w:tc>
                <w:tcPr>
                  <w:tcW w:w="5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Возбуждение живых тканей организма проходящим через него электрическим током, сопровождающееся судорожными сокращениями мышц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3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Металлизация кожи</w:t>
                  </w:r>
                </w:p>
              </w:tc>
              <w:tc>
                <w:tcPr>
                  <w:tcW w:w="5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Проникновение в верхние слои кожи частичек металла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3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Причиной производственной травмы</w:t>
                  </w:r>
                </w:p>
              </w:tc>
              <w:tc>
                <w:tcPr>
                  <w:tcW w:w="5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Неосторожное обращение с режущим инструментом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3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Наряд</w:t>
                  </w:r>
                </w:p>
              </w:tc>
              <w:tc>
                <w:tcPr>
                  <w:tcW w:w="5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Составленное на специальном бланке задание на безопасное производство работы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30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5. Распоряжение</w:t>
                  </w:r>
                </w:p>
              </w:tc>
              <w:tc>
                <w:tcPr>
                  <w:tcW w:w="59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д) Составленное в произвольной форме задание на безопасное производство работы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соответствие между элементом тарифной сетки и его определением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94"/>
              <w:gridCol w:w="6366"/>
            </w:tblGrid>
            <w:tr>
              <w:trPr>
                <w:trHeight w:val="414" w:hRule="atLeast"/>
              </w:trPr>
              <w:tc>
                <w:tcPr>
                  <w:tcW w:w="2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Тарифная сетка</w:t>
                  </w:r>
                </w:p>
              </w:tc>
              <w:tc>
                <w:tcPr>
                  <w:tcW w:w="6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Представляет собой совокупность действующих тарифных разрядов и соответствующих им тарифных коэффициентов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Тарифный коэффициент</w:t>
                  </w:r>
                </w:p>
              </w:tc>
              <w:tc>
                <w:tcPr>
                  <w:tcW w:w="6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Показывает во сколько раз уровень оплаты работ данного разряда выше уровня оплаты работ первого разряда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Тарифно-квалификационный справочник</w:t>
                  </w:r>
                </w:p>
              </w:tc>
              <w:tc>
                <w:tcPr>
                  <w:tcW w:w="6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Содержит перечень производств и профессий отраслей производства с характеристикой каждой профессии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5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Тарифная ставка</w:t>
                  </w:r>
                </w:p>
              </w:tc>
              <w:tc>
                <w:tcPr>
                  <w:tcW w:w="63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Выраженный в денежной форме абсолютный размер оплаты труда в единицу рабочего времени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rPr>
                <w:rFonts w:ascii="PT Astra Serif" w:hAnsi="PT Astra Serif"/>
                <w:sz w:val="4"/>
              </w:rPr>
            </w:pPr>
            <w:r>
              <w:rPr>
                <w:rFonts w:ascii="PT Astra Serif" w:hAnsi="PT Astra Serif"/>
                <w:sz w:val="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Соотнесите определение отрасли Российского права с её названием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114"/>
              <w:gridCol w:w="2846"/>
            </w:tblGrid>
            <w:tr>
              <w:trPr>
                <w:trHeight w:val="414" w:hRule="atLeast"/>
              </w:trPr>
              <w:tc>
                <w:tcPr>
                  <w:tcW w:w="6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Регулирующая права и свободы человека и гражданина, а также организацию и деятельность высших органов власти</w:t>
                  </w:r>
                </w:p>
              </w:tc>
              <w:tc>
                <w:tcPr>
                  <w:tcW w:w="2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Конституционное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6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Регулирующая имущественные отношения и отношения, тесно связанные с имущественными</w:t>
                  </w:r>
                </w:p>
              </w:tc>
              <w:tc>
                <w:tcPr>
                  <w:tcW w:w="2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Гражданское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6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tabs>
                      <w:tab w:val="clear" w:pos="708"/>
                      <w:tab w:val="left" w:pos="1084" w:leader="none"/>
                    </w:tabs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Регулирующая решение экономических споров</w:t>
                  </w:r>
                </w:p>
              </w:tc>
              <w:tc>
                <w:tcPr>
                  <w:tcW w:w="2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Арбитражно-процессуальное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6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Регулирующая формирование государственного бюджета, сбор налогов и неналоговых платежей</w:t>
                  </w:r>
                </w:p>
              </w:tc>
              <w:tc>
                <w:tcPr>
                  <w:tcW w:w="2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Финансовое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61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5. Регулирующая общественные отношения в сфере управленческой деятельности государственных органов и должностных лиц по исполнению публичных функций государства в процессе осуществления исполнительной власти органами государства</w:t>
                  </w:r>
                </w:p>
              </w:tc>
              <w:tc>
                <w:tcPr>
                  <w:tcW w:w="284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д) Административное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4"/>
              </w:rPr>
            </w:pPr>
            <w:r>
              <w:rPr>
                <w:rFonts w:ascii="PT Astra Serif" w:hAnsi="PT Astra Serif"/>
                <w:sz w:val="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соответствие между способом соединения источника и приёмника энергии и схемой цепи трёхфазного тока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80"/>
              <w:gridCol w:w="4480"/>
            </w:tblGrid>
            <w:tr>
              <w:trPr>
                <w:trHeight w:val="414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Звезда-треугольник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а) </w:t>
                  </w: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914400" cy="832485"/>
                        <wp:effectExtent l="0" t="0" r="0" b="0"/>
                        <wp:docPr id="9" name="Picture 18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18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50167" t="14859" r="35541" b="649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832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Треугольник-треугольник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б) </w:t>
                  </w: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708660" cy="616585"/>
                        <wp:effectExtent l="0" t="0" r="0" b="0"/>
                        <wp:docPr id="10" name="Picture 20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20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50432" t="34769" r="35016" b="460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660" cy="616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Звезда-звезда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в) </w:t>
                  </w: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729615" cy="719455"/>
                        <wp:effectExtent l="0" t="0" r="0" b="0"/>
                        <wp:docPr id="11" name="Picture 22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22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50301" t="54666" r="33230" b="274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615" cy="719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Треугольник-звезда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г) </w:t>
                  </w: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749935" cy="626745"/>
                        <wp:effectExtent l="0" t="0" r="0" b="0"/>
                        <wp:docPr id="12" name="Picture 2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Picture 2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51376" t="73844" r="35919" b="88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9935" cy="626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соответствие между типом полупроводникового прибора и его принципом действия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81"/>
              <w:gridCol w:w="6479"/>
            </w:tblGrid>
            <w:tr>
              <w:trPr>
                <w:trHeight w:val="414" w:hRule="atLeast"/>
              </w:trPr>
              <w:tc>
                <w:tcPr>
                  <w:tcW w:w="24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Плоскостные диоды</w:t>
                  </w:r>
                </w:p>
              </w:tc>
              <w:tc>
                <w:tcPr>
                  <w:tcW w:w="6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Полупроводниковые приборы с одним р-п переходом с односторонней проводимостью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4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Стабилитроны</w:t>
                  </w:r>
                </w:p>
              </w:tc>
              <w:tc>
                <w:tcPr>
                  <w:tcW w:w="6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Диоды, работа которых основана на зависимости барьерной ёмкости p-n перехода от обратного напряжения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24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Варикапы</w:t>
                  </w:r>
                </w:p>
              </w:tc>
              <w:tc>
                <w:tcPr>
                  <w:tcW w:w="6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Диоды, работающие в режиме пробоя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4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Импульсные диоды</w:t>
                  </w:r>
                </w:p>
              </w:tc>
              <w:tc>
                <w:tcPr>
                  <w:tcW w:w="6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Предназначены для применения в импульсных режимах работы и имеют малую длительность переходных процессов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4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5. Транзистор</w:t>
                  </w:r>
                </w:p>
              </w:tc>
              <w:tc>
                <w:tcPr>
                  <w:tcW w:w="64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д) Полупроводниковый триод с тремя выводами, позволяющий входным сигналам управлять током в электрической цепи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соответствие между схемой включения резисторов (рисунок) и общим сопротивлением цепи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998"/>
              <w:gridCol w:w="2244"/>
              <w:gridCol w:w="2719"/>
            </w:tblGrid>
            <w:tr>
              <w:trPr>
                <w:trHeight w:val="552" w:hRule="atLeast"/>
              </w:trPr>
              <w:tc>
                <w:tcPr>
                  <w:tcW w:w="39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К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1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и К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2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– разомкнуты </w:t>
                  </w:r>
                </w:p>
              </w:tc>
              <w:tc>
                <w:tcPr>
                  <w:tcW w:w="2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R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общ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= 3R/4</w:t>
                  </w:r>
                </w:p>
              </w:tc>
              <w:tc>
                <w:tcPr>
                  <w:tcW w:w="271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1120775" cy="1057910"/>
                        <wp:effectExtent l="0" t="0" r="0" b="0"/>
                        <wp:docPr id="13" name="Picture 26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Picture 26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57986" t="20865" r="15033" b="309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775" cy="1057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552" w:hRule="atLeast"/>
              </w:trPr>
              <w:tc>
                <w:tcPr>
                  <w:tcW w:w="39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К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1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и К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2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– замкнуты </w:t>
                  </w:r>
                </w:p>
              </w:tc>
              <w:tc>
                <w:tcPr>
                  <w:tcW w:w="2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R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общ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= R/4</w:t>
                  </w:r>
                </w:p>
              </w:tc>
              <w:tc>
                <w:tcPr>
                  <w:tcW w:w="2719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before="0" w:after="200"/>
                    <w:ind w:left="0" w:right="0" w:hanging="0"/>
                    <w:jc w:val="left"/>
                    <w:rPr>
                      <w:rFonts w:ascii="Times New Roman" w:hAnsi="Times New Roman"/>
                      <w:color w:val="000000"/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</w:r>
                </w:p>
              </w:tc>
            </w:tr>
            <w:tr>
              <w:trPr>
                <w:trHeight w:val="552" w:hRule="atLeast"/>
              </w:trPr>
              <w:tc>
                <w:tcPr>
                  <w:tcW w:w="39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К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1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– замкнут и К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2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– разомкнут </w:t>
                  </w:r>
                </w:p>
              </w:tc>
              <w:tc>
                <w:tcPr>
                  <w:tcW w:w="2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R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общ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= R/2</w:t>
                  </w:r>
                </w:p>
              </w:tc>
              <w:tc>
                <w:tcPr>
                  <w:tcW w:w="2719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before="0" w:after="200"/>
                    <w:ind w:left="0" w:right="0" w:hanging="0"/>
                    <w:jc w:val="left"/>
                    <w:rPr>
                      <w:rFonts w:ascii="Times New Roman" w:hAnsi="Times New Roman"/>
                      <w:color w:val="000000"/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соответствие между контуром цепи (рисунок) и уравнением, записанным по второму закону Кирхгофа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88"/>
              <w:gridCol w:w="3701"/>
              <w:gridCol w:w="2672"/>
            </w:tblGrid>
            <w:tr>
              <w:trPr>
                <w:trHeight w:val="519" w:hRule="atLeast"/>
              </w:trPr>
              <w:tc>
                <w:tcPr>
                  <w:tcW w:w="2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Контур СВАС</w:t>
                  </w:r>
                </w:p>
              </w:tc>
              <w:tc>
                <w:tcPr>
                  <w:tcW w:w="3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  <w:vertAlign w:val="subscript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E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2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= R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2</w:t>
                  </w:r>
                  <w:r>
                    <w:rPr>
                      <w:color w:val="000000"/>
                      <w:spacing w:val="0"/>
                      <w:kern w:val="0"/>
                      <w:sz w:val="24"/>
                      <w:szCs w:val="20"/>
                    </w:rPr>
                    <w:t>∙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I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3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– I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2</w:t>
                  </w:r>
                  <w:r>
                    <w:rPr>
                      <w:color w:val="000000"/>
                      <w:spacing w:val="0"/>
                      <w:kern w:val="0"/>
                      <w:sz w:val="24"/>
                      <w:szCs w:val="20"/>
                    </w:rPr>
                    <w:t>∙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R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вт2</w:t>
                  </w:r>
                </w:p>
              </w:tc>
              <w:tc>
                <w:tcPr>
                  <w:tcW w:w="267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1224280" cy="1002030"/>
                        <wp:effectExtent l="0" t="0" r="0" b="0"/>
                        <wp:docPr id="14" name="Picture 28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28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48907" t="17613" r="17428" b="262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4280" cy="1002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519" w:hRule="atLeast"/>
              </w:trPr>
              <w:tc>
                <w:tcPr>
                  <w:tcW w:w="2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Контур ВАДСВ</w:t>
                  </w:r>
                </w:p>
              </w:tc>
              <w:tc>
                <w:tcPr>
                  <w:tcW w:w="3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E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1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= (R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1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+ R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вт1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)</w:t>
                  </w:r>
                  <w:r>
                    <w:rPr>
                      <w:color w:val="000000"/>
                      <w:spacing w:val="0"/>
                      <w:kern w:val="0"/>
                      <w:sz w:val="24"/>
                      <w:szCs w:val="20"/>
                    </w:rPr>
                    <w:t>∙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I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1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+ I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3</w:t>
                  </w:r>
                  <w:r>
                    <w:rPr>
                      <w:color w:val="000000"/>
                      <w:spacing w:val="0"/>
                      <w:kern w:val="0"/>
                      <w:sz w:val="24"/>
                      <w:szCs w:val="20"/>
                    </w:rPr>
                    <w:t>∙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R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2672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before="0" w:after="200"/>
                    <w:ind w:left="0" w:right="0" w:hanging="0"/>
                    <w:jc w:val="left"/>
                    <w:rPr>
                      <w:rFonts w:ascii="Times New Roman" w:hAnsi="Times New Roman"/>
                      <w:color w:val="000000"/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</w:r>
                </w:p>
              </w:tc>
            </w:tr>
            <w:tr>
              <w:trPr>
                <w:trHeight w:val="519" w:hRule="atLeast"/>
              </w:trPr>
              <w:tc>
                <w:tcPr>
                  <w:tcW w:w="2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Контур АСДА</w:t>
                  </w:r>
                </w:p>
              </w:tc>
              <w:tc>
                <w:tcPr>
                  <w:tcW w:w="3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E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1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– E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2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= -R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вт2</w:t>
                  </w:r>
                  <w:r>
                    <w:rPr>
                      <w:color w:val="000000"/>
                      <w:spacing w:val="0"/>
                      <w:kern w:val="0"/>
                      <w:sz w:val="24"/>
                      <w:szCs w:val="20"/>
                    </w:rPr>
                    <w:t>∙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I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2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+ I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1</w:t>
                  </w:r>
                  <w:r>
                    <w:rPr>
                      <w:color w:val="000000"/>
                      <w:spacing w:val="0"/>
                      <w:kern w:val="0"/>
                      <w:sz w:val="24"/>
                      <w:szCs w:val="20"/>
                    </w:rPr>
                    <w:t>∙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(R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1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+ R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  <w:vertAlign w:val="subscript"/>
                    </w:rPr>
                    <w:t>вт1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)</w:t>
                  </w:r>
                </w:p>
              </w:tc>
              <w:tc>
                <w:tcPr>
                  <w:tcW w:w="2672" w:type="dxa"/>
                  <w:vMerge w:val="continue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before="0" w:after="200"/>
                    <w:ind w:left="0" w:right="0" w:hanging="0"/>
                    <w:jc w:val="left"/>
                    <w:rPr>
                      <w:rFonts w:ascii="Times New Roman" w:hAnsi="Times New Roman"/>
                      <w:color w:val="000000"/>
                      <w:spacing w:val="0"/>
                      <w:kern w:val="0"/>
                      <w:szCs w:val="20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соответствие между условным обозначением системы измерительного прибора и её названием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04"/>
              <w:gridCol w:w="4043"/>
              <w:gridCol w:w="4414"/>
            </w:tblGrid>
            <w:tr>
              <w:trPr>
                <w:trHeight w:val="414" w:hRule="atLeast"/>
              </w:trPr>
              <w:tc>
                <w:tcPr>
                  <w:tcW w:w="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</w:t>
                  </w:r>
                </w:p>
              </w:tc>
              <w:tc>
                <w:tcPr>
                  <w:tcW w:w="40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369570" cy="307975"/>
                        <wp:effectExtent l="0" t="0" r="0" b="0"/>
                        <wp:docPr id="15" name="Picture 30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Picture 30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l="27443" t="25064" r="64917" b="644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57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Электромагнитная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</w:t>
                  </w:r>
                </w:p>
              </w:tc>
              <w:tc>
                <w:tcPr>
                  <w:tcW w:w="40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369570" cy="307975"/>
                        <wp:effectExtent l="0" t="0" r="0" b="0"/>
                        <wp:docPr id="16" name="Picture 32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32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28105" t="36715" r="63924" b="540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57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Электростатическая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</w:t>
                  </w:r>
                </w:p>
              </w:tc>
              <w:tc>
                <w:tcPr>
                  <w:tcW w:w="40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369570" cy="307975"/>
                        <wp:effectExtent l="0" t="0" r="0" b="0"/>
                        <wp:docPr id="17" name="Picture 3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Picture 3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28102" t="46264" r="64422" b="417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57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Магнитоэлектрическая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</w:t>
                  </w:r>
                </w:p>
              </w:tc>
              <w:tc>
                <w:tcPr>
                  <w:tcW w:w="40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369570" cy="307975"/>
                        <wp:effectExtent l="0" t="0" r="0" b="0"/>
                        <wp:docPr id="18" name="Picture 36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36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l="28280" t="59092" r="63735" b="297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57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Ферродинамическая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5.</w:t>
                  </w:r>
                </w:p>
              </w:tc>
              <w:tc>
                <w:tcPr>
                  <w:tcW w:w="40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369570" cy="307975"/>
                        <wp:effectExtent l="0" t="0" r="0" b="0"/>
                        <wp:docPr id="19" name="Picture 38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38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 l="28775" t="71027" r="63079" b="172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57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д) Индукционная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5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6.</w:t>
                  </w:r>
                </w:p>
              </w:tc>
              <w:tc>
                <w:tcPr>
                  <w:tcW w:w="40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369570" cy="307975"/>
                        <wp:effectExtent l="0" t="0" r="0" b="0"/>
                        <wp:docPr id="20" name="Picture 40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40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 l="28951" t="83571" r="63530" b="67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570" cy="307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е) Электродинамическая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соответствие между электрическим измерительным прибором и единицами измерения, в которых он измеряет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80"/>
              <w:gridCol w:w="4480"/>
            </w:tblGrid>
            <w:tr>
              <w:trPr>
                <w:trHeight w:val="11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Омметр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Ом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2.Частотомер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Герц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3.Амперметр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Ампер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4.Ваттметр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Ватт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5.Электрический счетчик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д) Ватт · час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Сопоставить названием измерения и его определение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055"/>
              <w:gridCol w:w="6905"/>
            </w:tblGrid>
            <w:tr>
              <w:trPr>
                <w:trHeight w:val="414" w:hRule="atLeast"/>
              </w:trPr>
              <w:tc>
                <w:tcPr>
                  <w:tcW w:w="20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Прямое</w:t>
                  </w:r>
                </w:p>
              </w:tc>
              <w:tc>
                <w:tcPr>
                  <w:tcW w:w="6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Измерение, при котором искомое значение величины находят непосредственно из опытных данных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0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Косвенное</w:t>
                  </w:r>
                </w:p>
              </w:tc>
              <w:tc>
                <w:tcPr>
                  <w:tcW w:w="6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Измерение, при котором искомое значение величины находят по известной зависимости межу этой величиной и величинами, подвергаемыми прямым измерениям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0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Совокупные</w:t>
                  </w:r>
                </w:p>
              </w:tc>
              <w:tc>
                <w:tcPr>
                  <w:tcW w:w="6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Проводимые одновременно измерения двух или более не одноимённых величин для выявления зависимости между ними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0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Совместные</w:t>
                  </w:r>
                </w:p>
              </w:tc>
              <w:tc>
                <w:tcPr>
                  <w:tcW w:w="69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Производимые одновременно измерения нескольких одноименных величин, при которых искомые значения величин находят из системы уравнений, получаемых при прямых измерениях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соответствие между устройствами, служащих для расширения пределов измерения приборов и областью их применения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50"/>
              <w:gridCol w:w="5910"/>
            </w:tblGrid>
            <w:tr>
              <w:trPr>
                <w:trHeight w:val="414" w:hRule="atLeast"/>
              </w:trPr>
              <w:tc>
                <w:tcPr>
                  <w:tcW w:w="30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Шунт</w:t>
                  </w:r>
                </w:p>
              </w:tc>
              <w:tc>
                <w:tcPr>
                  <w:tcW w:w="5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Для расширения пределов измерения амперметра в цепях постоянного тока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30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2.Добавочное сопротивление</w:t>
                  </w:r>
                </w:p>
              </w:tc>
              <w:tc>
                <w:tcPr>
                  <w:tcW w:w="5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Для расширения пределов измерения вольтметра в цепях постоянного тока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30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Трансформатор тока</w:t>
                  </w:r>
                </w:p>
              </w:tc>
              <w:tc>
                <w:tcPr>
                  <w:tcW w:w="5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Для расширения пределов измерения амперметра в цепях переменного тока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30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Трансформатор напряжения</w:t>
                  </w:r>
                </w:p>
              </w:tc>
              <w:tc>
                <w:tcPr>
                  <w:tcW w:w="5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Для расширения пределов измерения вольтметра в цепях переменного тока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соответствие между видами погрешности и её определением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82"/>
              <w:gridCol w:w="6478"/>
            </w:tblGrid>
            <w:tr>
              <w:trPr>
                <w:trHeight w:val="414" w:hRule="atLeast"/>
              </w:trPr>
              <w:tc>
                <w:tcPr>
                  <w:tcW w:w="24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Случайная</w:t>
                  </w:r>
                </w:p>
              </w:tc>
              <w:tc>
                <w:tcPr>
                  <w:tcW w:w="6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Изменяется случайным образом при измерении одной и той же величины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4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Систематическая</w:t>
                  </w:r>
                </w:p>
              </w:tc>
              <w:tc>
                <w:tcPr>
                  <w:tcW w:w="6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При повторении экспериментов постоянна или меняется по известному закону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24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Субъективная</w:t>
                  </w:r>
                </w:p>
              </w:tc>
              <w:tc>
                <w:tcPr>
                  <w:tcW w:w="6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Не зависит от погрешности прибора и метода измерения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24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Методическая</w:t>
                  </w:r>
                </w:p>
              </w:tc>
              <w:tc>
                <w:tcPr>
                  <w:tcW w:w="6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Не зависит от погрешности прибора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4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5. Инструментальная</w:t>
                  </w:r>
                </w:p>
              </w:tc>
              <w:tc>
                <w:tcPr>
                  <w:tcW w:w="6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д) Возникает при отклонении условий эксплуатации прибора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соответствие условного обозначения и системы прибора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68"/>
              <w:gridCol w:w="3866"/>
              <w:gridCol w:w="4527"/>
            </w:tblGrid>
            <w:tr>
              <w:trPr>
                <w:trHeight w:val="414" w:hRule="atLeast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</w:t>
                  </w:r>
                </w:p>
              </w:tc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729615" cy="513715"/>
                        <wp:effectExtent l="0" t="0" r="0" b="0"/>
                        <wp:docPr id="21" name="Picture 42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42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16317" t="36598" r="75451" b="5316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615" cy="51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Вибрационная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</w:t>
                  </w:r>
                </w:p>
              </w:tc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729615" cy="616585"/>
                        <wp:effectExtent l="0" t="0" r="0" b="0"/>
                        <wp:docPr id="22" name="Picture 4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4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17150" t="48248" r="74819" b="407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615" cy="616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Ферродинамическая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</w:t>
                  </w:r>
                </w:p>
              </w:tc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729615" cy="616585"/>
                        <wp:effectExtent l="0" t="0" r="0" b="0"/>
                        <wp:docPr id="23" name="Picture 46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Picture 46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 l="16317" t="60623" r="76167" b="273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9615" cy="616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Электромагнитная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</w:t>
                  </w:r>
                </w:p>
              </w:tc>
              <w:tc>
                <w:tcPr>
                  <w:tcW w:w="3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369570" cy="410845"/>
                        <wp:effectExtent l="0" t="0" r="0" b="0"/>
                        <wp:docPr id="24" name="Picture 48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Picture 48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 l="17150" t="74835" r="77683" b="143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570" cy="410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Электродинамическая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соответствие между названием персонала и обязанностями, возложенными на этот персонал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82"/>
              <w:gridCol w:w="6478"/>
            </w:tblGrid>
            <w:tr>
              <w:trPr>
                <w:trHeight w:val="414" w:hRule="atLeast"/>
              </w:trPr>
              <w:tc>
                <w:tcPr>
                  <w:tcW w:w="24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Оперативный</w:t>
                  </w:r>
                </w:p>
              </w:tc>
              <w:tc>
                <w:tcPr>
                  <w:tcW w:w="6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Осуществляет оперативное управление и обслуживание электроустановок (осмотр, оперативные переключения, подготовку рабочего места, допуск и надзор за работающими, выполнение работ в порядке текущей эксплуатации)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4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Административно-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технический</w:t>
                  </w:r>
                </w:p>
              </w:tc>
              <w:tc>
                <w:tcPr>
                  <w:tcW w:w="6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Организует техническое и оперативное обслуживание, проведения ремонтных, монтажных и наладочных работ в электроустановках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4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Ремонтный</w:t>
                  </w:r>
                </w:p>
              </w:tc>
              <w:tc>
                <w:tcPr>
                  <w:tcW w:w="6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Обеспечивает техническое обслуживание и ремонт, монтаж, наладку и испытаний электрооборудования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4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Оперативно-ремонтный персонал</w:t>
                  </w:r>
                </w:p>
              </w:tc>
              <w:tc>
                <w:tcPr>
                  <w:tcW w:w="6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Вменяется ответственность за оперативное и ремонтно-эксплуатационное обслуживание тех приборов, которые были за ними закреплены, в том числе воздушных и кабельных линий электропередачи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соответствие между видом плаката безопасности и его назначением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910"/>
              <w:gridCol w:w="6050"/>
            </w:tblGrid>
            <w:tr>
              <w:trPr>
                <w:trHeight w:val="414" w:hRule="atLeast"/>
              </w:trPr>
              <w:tc>
                <w:tcPr>
                  <w:tcW w:w="2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«РАБОТА ПОД НАПРЯЖЕНИЕМ повторно не включать!»</w:t>
                  </w:r>
                </w:p>
              </w:tc>
              <w:tc>
                <w:tcPr>
                  <w:tcW w:w="60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Запрещает повторное ручное включение выключателей ВЛ без согласования с руководителем работ после того, как они были автоматически отключены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«НЕ ВКЛЮЧАТЬ! Работа на линии»</w:t>
                  </w:r>
                </w:p>
              </w:tc>
              <w:tc>
                <w:tcPr>
                  <w:tcW w:w="60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Переносной, запрещающий подачу напряжения на рабочее место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«НЕ ОТКРЫВАТЬ! Работают люди»</w:t>
                  </w:r>
                </w:p>
              </w:tc>
              <w:tc>
                <w:tcPr>
                  <w:tcW w:w="60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Вывешивать на задвижках и вентилях перекрывающих подачу воздуха к пневматическим коммутационным аппаратам, ошибочное открытие которых может привести ко включению аппарата на котором работают люди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9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«НЕ ВКЛЮЧАТЬ! Работают люди»</w:t>
                  </w:r>
                </w:p>
              </w:tc>
              <w:tc>
                <w:tcPr>
                  <w:tcW w:w="60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Переносной, запрещающий подачу на линию напряжения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соответствие между определением вида электрической защиты и его названием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255"/>
              <w:gridCol w:w="2705"/>
            </w:tblGrid>
            <w:tr>
              <w:trPr>
                <w:trHeight w:val="414" w:hRule="atLeast"/>
              </w:trPr>
              <w:tc>
                <w:tcPr>
                  <w:tcW w:w="6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Преднамеренное электрическое соединение части электроустановки с заземляющим устройством с целью обеспечения электробезопасности</w:t>
                  </w:r>
                </w:p>
              </w:tc>
              <w:tc>
                <w:tcPr>
                  <w:tcW w:w="2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Защитное заземление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6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Служит для создания кратковременного тока короткого замыкания для срабатывания защиты и быстрого отключения</w:t>
                  </w:r>
                </w:p>
              </w:tc>
              <w:tc>
                <w:tcPr>
                  <w:tcW w:w="2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Нулевой защитный проводник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6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Преднамеренное электрическое соединение корпуса электроустановки с заземляющим устройством</w:t>
                  </w:r>
                </w:p>
              </w:tc>
              <w:tc>
                <w:tcPr>
                  <w:tcW w:w="2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Заземление электроустановки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6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Преднамеренное электрическое соединение частей электроустановки, нормально не находящихся под напряжением с глухо заземленной нейтралью с нулевым проводом</w:t>
                  </w:r>
                </w:p>
              </w:tc>
              <w:tc>
                <w:tcPr>
                  <w:tcW w:w="2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Зануление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62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5. Служит для питания электроустановок и имеет одинаковую с другими проводами изоляцию</w:t>
                  </w:r>
                </w:p>
              </w:tc>
              <w:tc>
                <w:tcPr>
                  <w:tcW w:w="27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д) Нулевой рабочий проводник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соответствие видом воздействия электрическим током и его определением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562"/>
              <w:gridCol w:w="6398"/>
            </w:tblGrid>
            <w:tr>
              <w:trPr>
                <w:trHeight w:val="414" w:hRule="atLeast"/>
              </w:trPr>
              <w:tc>
                <w:tcPr>
                  <w:tcW w:w="2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Термическое</w:t>
                  </w:r>
                </w:p>
              </w:tc>
              <w:tc>
                <w:tcPr>
                  <w:tcW w:w="63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Проявляется ожогами отдельных участков тела, нагревом кровеносных сосудов, нервов и других тканей, вызывая в них существенные функциональные расстройства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Электролитическое</w:t>
                  </w:r>
                </w:p>
              </w:tc>
              <w:tc>
                <w:tcPr>
                  <w:tcW w:w="63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Выражается в разложении биологических жидкостей, в том числе крови, в результате чего нарушается их физико-химический состав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Механическое</w:t>
                  </w:r>
                </w:p>
              </w:tc>
              <w:tc>
                <w:tcPr>
                  <w:tcW w:w="63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Приводит к расслоению, разрыву тканей организма в результате электродинамического эффект</w:t>
                  </w:r>
                </w:p>
              </w:tc>
            </w:tr>
            <w:tr>
              <w:trPr>
                <w:trHeight w:val="414" w:hRule="atLeast"/>
              </w:trPr>
              <w:tc>
                <w:tcPr>
                  <w:tcW w:w="2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Биологическое</w:t>
                  </w:r>
                </w:p>
              </w:tc>
              <w:tc>
                <w:tcPr>
                  <w:tcW w:w="639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Проявляется раздражением и возбуждением тканей организма, нарушением жизненно важных биологических процессов, в результате чего возможны остановка сердца и прекращение дыхания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>
          <w:trHeight w:val="1210" w:hRule="atLeast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соответствия величин тока по степени физиологического воздействия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835"/>
              <w:gridCol w:w="4125"/>
            </w:tblGrid>
            <w:tr>
              <w:trPr>
                <w:trHeight w:val="80" w:hRule="atLeast"/>
              </w:trPr>
              <w:tc>
                <w:tcPr>
                  <w:tcW w:w="4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Пороговый ощутимый ток</w:t>
                  </w:r>
                </w:p>
              </w:tc>
              <w:tc>
                <w:tcPr>
                  <w:tcW w:w="41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 10…16 мА</w:t>
                  </w:r>
                </w:p>
              </w:tc>
            </w:tr>
            <w:tr>
              <w:trPr>
                <w:trHeight w:val="70" w:hRule="atLeast"/>
              </w:trPr>
              <w:tc>
                <w:tcPr>
                  <w:tcW w:w="4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Пороговый неотпускающий ток</w:t>
                  </w:r>
                </w:p>
              </w:tc>
              <w:tc>
                <w:tcPr>
                  <w:tcW w:w="41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 100 мА</w:t>
                  </w:r>
                </w:p>
              </w:tc>
            </w:tr>
            <w:tr>
              <w:trPr>
                <w:trHeight w:val="74" w:hRule="atLeast"/>
              </w:trPr>
              <w:tc>
                <w:tcPr>
                  <w:tcW w:w="4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Пороговый фибрилляционный ток</w:t>
                  </w:r>
                </w:p>
              </w:tc>
              <w:tc>
                <w:tcPr>
                  <w:tcW w:w="41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0,8 …1,2 мА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соответствие между соединением элементов и параметрами тока и напряжения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840"/>
              <w:gridCol w:w="4120"/>
            </w:tblGrid>
            <w:tr>
              <w:trPr>
                <w:trHeight w:val="144" w:hRule="atLeast"/>
              </w:trPr>
              <w:tc>
                <w:tcPr>
                  <w:tcW w:w="4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Последовательное</w:t>
                  </w:r>
                </w:p>
              </w:tc>
              <w:tc>
                <w:tcPr>
                  <w:tcW w:w="41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А) I – const, U – var 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Параллельное</w:t>
                  </w:r>
                </w:p>
              </w:tc>
              <w:tc>
                <w:tcPr>
                  <w:tcW w:w="41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Б)  U = const, I – var </w:t>
                  </w:r>
                </w:p>
              </w:tc>
            </w:tr>
            <w:tr>
              <w:trPr>
                <w:trHeight w:val="60" w:hRule="atLeast"/>
              </w:trPr>
              <w:tc>
                <w:tcPr>
                  <w:tcW w:w="4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Режим короткого замыкания</w:t>
                  </w:r>
                </w:p>
              </w:tc>
              <w:tc>
                <w:tcPr>
                  <w:tcW w:w="41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 </w:t>
                  </w: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 I = 0, U = E</w:t>
                  </w:r>
                </w:p>
              </w:tc>
            </w:tr>
            <w:tr>
              <w:trPr>
                <w:trHeight w:val="128" w:hRule="atLeast"/>
              </w:trPr>
              <w:tc>
                <w:tcPr>
                  <w:tcW w:w="48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Режим холостого хода</w:t>
                  </w:r>
                </w:p>
              </w:tc>
              <w:tc>
                <w:tcPr>
                  <w:tcW w:w="41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 I = max, U = 0</w:t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Установите соответствие между дополнительными изолирующими электрозащитными средствами до 1000В и их графическим изображением  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832"/>
              <w:gridCol w:w="4128"/>
            </w:tblGrid>
            <w:tr>
              <w:trPr>
                <w:trHeight w:val="79" w:hRule="atLeast"/>
              </w:trPr>
              <w:tc>
                <w:tcPr>
                  <w:tcW w:w="4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Изолирующая подставка</w:t>
                  </w:r>
                </w:p>
              </w:tc>
              <w:tc>
                <w:tcPr>
                  <w:tcW w:w="41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а) </w:t>
                  </w: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612140" cy="437515"/>
                        <wp:effectExtent l="0" t="0" r="0" b="0"/>
                        <wp:docPr id="25" name="Picture 50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Picture 50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140" cy="437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/>
              <w:tc>
                <w:tcPr>
                  <w:tcW w:w="4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Диэлектрические боты</w:t>
                  </w:r>
                </w:p>
              </w:tc>
              <w:tc>
                <w:tcPr>
                  <w:tcW w:w="41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б) </w:t>
                  </w: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596265" cy="373380"/>
                        <wp:effectExtent l="0" t="0" r="0" b="0"/>
                        <wp:docPr id="26" name="Picture 52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Picture 52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265" cy="37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/>
              <w:tc>
                <w:tcPr>
                  <w:tcW w:w="4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Диэлектрические галоши</w:t>
                  </w:r>
                </w:p>
              </w:tc>
              <w:tc>
                <w:tcPr>
                  <w:tcW w:w="41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в) </w:t>
                  </w: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604520" cy="334010"/>
                        <wp:effectExtent l="0" t="0" r="0" b="0"/>
                        <wp:docPr id="27" name="Picture 5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Picture 5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4520" cy="334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/>
              <w:tc>
                <w:tcPr>
                  <w:tcW w:w="4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Диэлектрический коврик</w:t>
                  </w:r>
                </w:p>
              </w:tc>
              <w:tc>
                <w:tcPr>
                  <w:tcW w:w="41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 xml:space="preserve">г) </w:t>
                  </w: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683895" cy="405130"/>
                        <wp:effectExtent l="0" t="0" r="0" b="0"/>
                        <wp:docPr id="28" name="Picture 56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Picture 56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3895" cy="405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соответствие между основными изолирующими средствами защиты до 1000 В и их графическим изображением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6540"/>
              <w:gridCol w:w="2420"/>
            </w:tblGrid>
            <w:tr>
              <w:trPr>
                <w:trHeight w:val="276" w:hRule="atLeast"/>
              </w:trPr>
              <w:tc>
                <w:tcPr>
                  <w:tcW w:w="6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Диэлектрические перчатки</w:t>
                  </w:r>
                </w:p>
              </w:tc>
              <w:tc>
                <w:tcPr>
                  <w:tcW w:w="2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1073785" cy="302260"/>
                        <wp:effectExtent l="0" t="0" r="0" b="0"/>
                        <wp:docPr id="29" name="Picture 58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Picture 58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378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276" w:hRule="atLeast"/>
              </w:trPr>
              <w:tc>
                <w:tcPr>
                  <w:tcW w:w="6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Инструмент с изолирующими рукоятками (пассатижи)</w:t>
                  </w:r>
                </w:p>
              </w:tc>
              <w:tc>
                <w:tcPr>
                  <w:tcW w:w="2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708025" cy="373380"/>
                        <wp:effectExtent l="0" t="0" r="0" b="0"/>
                        <wp:docPr id="30" name="Picture 60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Picture 60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025" cy="37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276" w:hRule="atLeast"/>
              </w:trPr>
              <w:tc>
                <w:tcPr>
                  <w:tcW w:w="6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Указатель напряжения</w:t>
                  </w:r>
                </w:p>
              </w:tc>
              <w:tc>
                <w:tcPr>
                  <w:tcW w:w="2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763270" cy="373380"/>
                        <wp:effectExtent l="0" t="0" r="0" b="0"/>
                        <wp:docPr id="31" name="Picture 62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62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270" cy="37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276" w:hRule="atLeast"/>
              </w:trPr>
              <w:tc>
                <w:tcPr>
                  <w:tcW w:w="6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Инструмент с изолирующими рукоятками (отвертка)</w:t>
                  </w:r>
                </w:p>
              </w:tc>
              <w:tc>
                <w:tcPr>
                  <w:tcW w:w="2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890905" cy="373380"/>
                        <wp:effectExtent l="0" t="0" r="0" b="0"/>
                        <wp:docPr id="32" name="Picture 6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Picture 6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0905" cy="373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соответствие между схемами прохождения электрического тока и их графическим изображением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80"/>
              <w:gridCol w:w="4480"/>
            </w:tblGrid>
            <w:tr>
              <w:trPr>
                <w:trHeight w:val="276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Руки-ноги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383540" cy="429260"/>
                        <wp:effectExtent l="0" t="0" r="0" b="0"/>
                        <wp:docPr id="33" name="Picture 66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66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540" cy="429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276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Рука-рука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440055" cy="485140"/>
                        <wp:effectExtent l="0" t="0" r="0" b="0"/>
                        <wp:docPr id="34" name="Picture 68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Picture 68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055" cy="485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276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Правая рука-ноги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394970" cy="440055"/>
                        <wp:effectExtent l="0" t="0" r="0" b="0"/>
                        <wp:docPr id="35" name="Picture 70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Picture 70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970" cy="440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276" w:hRule="atLeast"/>
              </w:trPr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Левая рука-ноги</w:t>
                  </w:r>
                </w:p>
              </w:tc>
              <w:tc>
                <w:tcPr>
                  <w:tcW w:w="448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г)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394970" cy="519430"/>
                        <wp:effectExtent l="0" t="0" r="0" b="0"/>
                        <wp:docPr id="36" name="Picture 72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Picture 72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4970" cy="519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соответствие между названием и формулой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978"/>
              <w:gridCol w:w="578"/>
              <w:gridCol w:w="3405"/>
            </w:tblGrid>
            <w:tr>
              <w:trPr>
                <w:trHeight w:val="591" w:hRule="atLeast"/>
              </w:trPr>
              <w:tc>
                <w:tcPr>
                  <w:tcW w:w="4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Напряженность электрического поля</w:t>
                  </w:r>
                </w:p>
              </w:tc>
              <w:tc>
                <w:tcPr>
                  <w:tcW w:w="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а)</w:t>
                  </w:r>
                </w:p>
              </w:tc>
              <w:tc>
                <w:tcPr>
                  <w:tcW w:w="3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691515" cy="429260"/>
                        <wp:effectExtent l="0" t="0" r="0" b="0"/>
                        <wp:docPr id="37" name="Picture 74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Picture 74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515" cy="429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163" w:hRule="atLeast"/>
              </w:trPr>
              <w:tc>
                <w:tcPr>
                  <w:tcW w:w="4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Закон Кулона</w:t>
                  </w:r>
                </w:p>
              </w:tc>
              <w:tc>
                <w:tcPr>
                  <w:tcW w:w="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б)</w:t>
                  </w:r>
                </w:p>
              </w:tc>
              <w:tc>
                <w:tcPr>
                  <w:tcW w:w="3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tabs>
                      <w:tab w:val="clear" w:pos="708"/>
                      <w:tab w:val="left" w:pos="1677" w:leader="none"/>
                    </w:tabs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548640" cy="485140"/>
                        <wp:effectExtent l="0" t="0" r="0" b="0"/>
                        <wp:docPr id="38" name="Picture 76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Picture 76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8640" cy="4851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/>
              <w:tc>
                <w:tcPr>
                  <w:tcW w:w="49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Закон Ома для всей цепи</w:t>
                  </w:r>
                </w:p>
              </w:tc>
              <w:tc>
                <w:tcPr>
                  <w:tcW w:w="5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center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в)</w:t>
                  </w:r>
                </w:p>
              </w:tc>
              <w:tc>
                <w:tcPr>
                  <w:tcW w:w="340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>
                  <w:pPr>
                    <w:pStyle w:val="Normal"/>
                    <w:widowControl/>
                    <w:tabs>
                      <w:tab w:val="clear" w:pos="708"/>
                      <w:tab w:val="left" w:pos="1999" w:leader="none"/>
                    </w:tabs>
                    <w:spacing w:lineRule="auto" w:line="240" w:before="0" w:after="0"/>
                    <w:ind w:left="0" w:right="0" w:hanging="0"/>
                    <w:jc w:val="left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882650" cy="374015"/>
                        <wp:effectExtent l="0" t="0" r="0" b="0"/>
                        <wp:docPr id="39" name="Picture 78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Picture 78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2650" cy="374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</w:tbl>
    <w:p>
      <w:pPr>
        <w:pStyle w:val="Normal"/>
        <w:spacing w:lineRule="auto" w:line="240" w:before="0" w:after="0"/>
        <w:rPr>
          <w:rFonts w:ascii="PT Astra Serif" w:hAnsi="PT Astra Serif"/>
          <w:b/>
          <w:b/>
          <w:sz w:val="24"/>
        </w:rPr>
      </w:pPr>
      <w:r>
        <w:rPr>
          <w:rFonts w:ascii="PT Astra Serif" w:hAnsi="PT Astra Serif"/>
          <w:b/>
          <w:sz w:val="24"/>
        </w:rPr>
      </w:r>
    </w:p>
    <w:p>
      <w:pPr>
        <w:pStyle w:val="Normal"/>
        <w:spacing w:lineRule="auto" w:line="360" w:before="0" w:after="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Вопрос на установление последовательности</w:t>
      </w:r>
      <w:r>
        <w:rPr>
          <w:rFonts w:ascii="PT Astra Serif" w:hAnsi="PT Astra Serif"/>
          <w:b/>
          <w:sz w:val="24"/>
        </w:rPr>
        <w:t xml:space="preserve"> </w:t>
      </w:r>
      <w:r>
        <w:rPr>
          <w:rFonts w:ascii="PT Astra Serif" w:hAnsi="PT Astra Serif"/>
          <w:sz w:val="24"/>
        </w:rPr>
        <w:t>(20)</w:t>
      </w:r>
    </w:p>
    <w:tbl>
      <w:tblPr>
        <w:tblStyle w:val="Style_7"/>
        <w:tblW w:w="974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9176"/>
      </w:tblGrid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последовательность основных временных фаз развития управления данными: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перфокарты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магнитные ленты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базы данных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реляционные базы данных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интернет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е) облачные технологии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Расположите приставки к множителям в порядке возрастания от самой маленькой к самой большой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пико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микро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деци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дека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гекто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е) кило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последовательность проведения первичного инструктажа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ознакомление с инструкциями по охране труда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практический показ безопасных приемов и методов труда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стажировка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проверка теоретических знаний и приобретенных навыков безопасных способов работы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Порядок универсальной схемы оказания первой помощи на месте происшествия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если нет сознания и нет пульса на сонной артерии – приступить к реанимации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если нет сознания, но есть пульс на сонной артерии – повернуть на живот и очистить ротовую полость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при артериальном кровотечении – наложить жгут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при наличии ран – наложить повязки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если есть признаки переломов конечностей – наложить транспортные шины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Расставьте по порядку стадии ликвидации юридического лица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принятие решения о ликвидации органом юридического лица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публикация решения о ликвидации в СМИ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выявление кредиторов юридическое лица и письменное уведомление их о ликвидации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выявление дебиторов и взыскание с них дебиторской задолженности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составление ликвидационного баланса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е) выплата денежных сумм кредиторам в порядке очерёдности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ж) закрытие счёта в банке, уничтожение печати, запись в едином государственном реестре о ликвидации предприятия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Расположите параметры двигателя постоянного тока согласно формул для их определения 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439420" cy="172085"/>
                  <wp:effectExtent l="0" t="0" r="0" b="0"/>
                  <wp:docPr id="40" name="Picture 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17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ab/>
              <w:t xml:space="preserve">     </w:t>
            </w: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439420" cy="237490"/>
                  <wp:effectExtent l="0" t="0" r="0" b="0"/>
                  <wp:docPr id="41" name="Picture 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ab/>
            </w: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635635" cy="172085"/>
                  <wp:effectExtent l="0" t="0" r="0" b="0"/>
                  <wp:docPr id="42" name="Picture 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17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ab/>
            </w: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356235" cy="231775"/>
                  <wp:effectExtent l="0" t="0" r="0" b="0"/>
                  <wp:docPr id="43" name="Picture 8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8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ab/>
              <w:t xml:space="preserve">    </w:t>
            </w: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635635" cy="231775"/>
                  <wp:effectExtent l="0" t="0" r="0" b="0"/>
                  <wp:docPr id="44" name="Picture 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3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ab/>
              <w:t xml:space="preserve">   </w:t>
            </w: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540385" cy="231775"/>
                  <wp:effectExtent l="0" t="0" r="0" b="0"/>
                  <wp:docPr id="45" name="Picture 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  <w:vertAlign w:val="subscript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а)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ω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  <w:vertAlign w:val="subscript"/>
              </w:rPr>
              <w:t>0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  <w:vertAlign w:val="subscript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∆Р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  <w:vertAlign w:val="subscript"/>
              </w:rPr>
              <w:t>эя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 xml:space="preserve">в)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ω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  <w:vertAlign w:val="subscript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М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  <w:vertAlign w:val="subscript"/>
              </w:rPr>
              <w:t>эм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U</w:t>
            </w: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  <w:vertAlign w:val="subscript"/>
              </w:rPr>
              <w:t>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spacing w:val="0"/>
                <w:kern w:val="0"/>
                <w:sz w:val="24"/>
                <w:szCs w:val="20"/>
              </w:rPr>
              <w:t>е) Р</w:t>
            </w:r>
            <w:r>
              <w:rPr>
                <w:rFonts w:ascii="PT Astra Serif" w:hAnsi="PT Astra Serif"/>
                <w:spacing w:val="0"/>
                <w:kern w:val="0"/>
                <w:sz w:val="24"/>
                <w:szCs w:val="20"/>
                <w:vertAlign w:val="subscript"/>
              </w:rPr>
              <w:t>ном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Расположите этапы эксплуатации в порядке их проведения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транспортировка и хранения оборудования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монтаж оборудования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пробный пуск и сдача в эксплуатацию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техническое обслуживание оборудования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ремонты в процессе технического обслуживания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е) утилизация оборудования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Назовите верный порядок проведения сертификации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подача заявления на сертификацию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отбор образцов на испытание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оценка производства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выдача сертификата соответствия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применение знака соответствия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е) инспекторский контроль сертифицированной продукции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последовательность действий при определении токов в ветвях по методу контурных токов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определить количество ветвей в цепи и независимых контуров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задать направления токов в ветвях и контурных токов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выразить основные токи через контурные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составить уравнения по II закону Кирхгофа относительно контурных токов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правильную последовательность единиц измерения для представленных величин: мощность, электрическая энергия, проводимость, магнитный поток, напряжённость, индуктивность, магнитная индукция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Вт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кВт*час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См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Тл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В/м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е) Гн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ж) Вб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правильную последовательность формулировки закона Ома для полной цепи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сила тока в цепи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прямо пропорциональна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ЭДС источника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обратно пропорциональна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сумме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е) внутреннего сопротивления источника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ж) сопротивления цепи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Расставить электрические величины в правильном порядке (рисунок)</w:t>
            </w:r>
          </w:p>
          <w:tbl>
            <w:tblPr>
              <w:tblStyle w:val="Style_7"/>
              <w:tblW w:w="5000" w:type="pct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480"/>
              <w:gridCol w:w="4480"/>
            </w:tblGrid>
            <w:tr>
              <w:trPr/>
              <w:tc>
                <w:tcPr>
                  <w:tcW w:w="4480" w:type="dxa"/>
                  <w:tcBorders/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1. время (t)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2. энергия (W)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3. мощность (Р)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  <w:t>4. сопротивление (R)</w:t>
                  </w:r>
                </w:p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rFonts w:ascii="PT Astra Serif" w:hAnsi="PT Astra Serif"/>
                      <w:color w:val="000000"/>
                      <w:spacing w:val="0"/>
                      <w:kern w:val="0"/>
                      <w:sz w:val="24"/>
                      <w:szCs w:val="20"/>
                    </w:rPr>
                  </w:r>
                </w:p>
              </w:tc>
              <w:tc>
                <w:tcPr>
                  <w:tcW w:w="4480" w:type="dxa"/>
                  <w:tcBorders/>
                </w:tcPr>
                <w:p>
                  <w:pPr>
                    <w:pStyle w:val="Normal"/>
                    <w:widowControl/>
                    <w:spacing w:lineRule="auto" w:line="240" w:before="0" w:after="0"/>
                    <w:ind w:left="0" w:right="0" w:hanging="0"/>
                    <w:jc w:val="both"/>
                    <w:rPr>
                      <w:rFonts w:ascii="PT Astra Serif" w:hAnsi="PT Astra Serif"/>
                      <w:sz w:val="24"/>
                    </w:rPr>
                  </w:pPr>
                  <w:r>
                    <w:rPr>
                      <w:color w:val="000000"/>
                      <w:spacing w:val="0"/>
                      <w:kern w:val="0"/>
                      <w:szCs w:val="20"/>
                    </w:rPr>
                    <w:drawing>
                      <wp:inline distT="0" distB="0" distL="114935" distR="114935">
                        <wp:extent cx="763270" cy="1280160"/>
                        <wp:effectExtent l="0" t="0" r="0" b="0"/>
                        <wp:docPr id="46" name="Picture 92" descr="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Picture 92" descr="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 l="61665" t="14886" r="15908" b="130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3270" cy="1280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правильную последовательность формулировки закона Ома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прямо пропорциональна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напряжению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сопротивлению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сила тока в цепи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обратно пропорциональна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последовательность действий при измерении постоянного тока цифровым мультиметром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отключить измеряемую цепь от питающего напряжения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перевести переключатель в положение измерения тока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выбрать положение для постоянного тока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выбрать диапазон измерений ближайший больший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подключить щупы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е) подать питание в измеряемую цепь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ж) снимаем показания с дисплея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Установить последовательность действий при измерении постоянного напряжения цифровым мультиметром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перевести переключатель в положение измерения напряжения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выбрать положение для постоянного напряжения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выбрать диапазон измерений ближайший больший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подключить щупы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снимаем показания с дисплея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правильную последовательность выполнения необходимых технических мероприятий, обеспечивающих безопасность работ со снятием напряжения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произвести необходимые отключения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вывесить запрещающие плакаты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проверить отсутствие напряжения на токоведущих частях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установить заземление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вывесить указательные плакаты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е) вывесить предупреждающие плакаты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ж) вывести предписывающие плакаты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правильный порядок мероприятий, обеспечивающий проведение работ при подготовке рабочего места со снятием напряжения в электроустановках (гл.3)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вывешены указательные плакаты «Заземлено», ограждены при необходимости рабочие места и оставшиеся под напряжением токоведущие части, вывешены предупреждающие и предписывающие плакаты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произведены необходимые отключения и приняты меры, препятствующие подаче напряжения на место работы вследствие ошибочного или самопроизвольного включения коммутационных аппаратов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на приводах ручного и на ключах дистанционного управления коммутационных аппаратов должны быть вывешены запрещающие плакаты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установлено заземление (включены заземляющие ножи, а там, где они отсутствуют, установлены переносные заземления);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проверено отсутствие напряжения на токоведущих частях, которые должны быть заземлены для защиты людей от поражения электрическим током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правильный порядок снятия переносного заземления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отсоединить зажим от действующей шины заземления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необходимо убедиться в отсутствии напряжения на заземленных частях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отсоединить зажимы от электроустановки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последовательность освобождения пострадавшего от действия электрического тока в электроустановках выше 1 кВ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оттащить пострадавшего за одежду не менее чем за 10 метров от места касания проводом земли или от оборудования, находящегося под напряжением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замкнуть провода ВЛ 6 – 20 кВ накоротко методом наброса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сбросить изолирующей штангой провод с пострадавшего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надеть диэлектрические перчатки, боты или галоши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взять изолирующую штангу, или изолирующие клещи</w:t>
            </w:r>
          </w:p>
        </w:tc>
      </w:tr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ListParagraph1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567" w:leader="none"/>
                <w:tab w:val="left" w:pos="1134" w:leader="none"/>
              </w:tabs>
              <w:spacing w:lineRule="auto" w:line="240" w:before="0" w:after="0"/>
              <w:ind w:left="720" w:right="0" w:hanging="0"/>
              <w:contextualSpacing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9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Установите правильный порядок, который должен соблюдать работник, получивший задание на переключения в электроустановках ПТЭ ЭП п.1.5.36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а) составить, если требуется, бланк переключений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б) повторить задание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в) после выполнения задания на переключения сделать об этом запись в оперативном журнале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г) установить по оперативной схеме или схеме-макету порядок предстоящих операций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color w:val="000000"/>
                <w:spacing w:val="0"/>
                <w:kern w:val="0"/>
                <w:sz w:val="24"/>
                <w:szCs w:val="20"/>
              </w:rPr>
              <w:t>д) записать задание в оперативный журнал</w:t>
            </w:r>
          </w:p>
        </w:tc>
      </w:tr>
    </w:tbl>
    <w:p>
      <w:pPr>
        <w:pStyle w:val="Normal"/>
        <w:spacing w:lineRule="auto" w:line="360" w:before="0" w:after="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</w:r>
    </w:p>
    <w:p>
      <w:pPr>
        <w:pStyle w:val="Normal"/>
        <w:spacing w:lineRule="auto" w:line="240" w:before="0" w:after="0"/>
        <w:rPr>
          <w:rFonts w:ascii="PT Astra Serif" w:hAnsi="PT Astra Serif"/>
          <w:b/>
          <w:b/>
          <w:sz w:val="24"/>
        </w:rPr>
      </w:pPr>
      <w:r>
        <w:rPr/>
      </w:r>
    </w:p>
    <w:sectPr>
      <w:headerReference w:type="default" r:id="rId48"/>
      <w:type w:val="nextPage"/>
      <w:pgSz w:w="11906" w:h="16838"/>
      <w:pgMar w:left="1701" w:right="567" w:header="709" w:top="1134" w:footer="0" w:bottom="1134" w:gutter="0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XO Thames">
    <w:charset w:val="01"/>
    <w:family w:val="roman"/>
    <w:pitch w:val="variable"/>
  </w:font>
  <w:font w:name="Segoe U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roman"/>
    <w:pitch w:val="variable"/>
  </w:font>
  <w:font w:name="Microsoft Sans Serif"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PT Astra Serif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spacing w:before="0" w:after="200"/>
      <w:jc w:val="center"/>
      <w:rPr/>
    </w:pPr>
    <w:r>
      <w:rPr/>
    </w:r>
    <w:r>
      <mc:AlternateContent>
        <mc:Choice Requires="wps">
          <w:drawing>
            <wp:anchor behindDoc="0" distT="0" distB="0" distL="0" distR="0" simplePos="0" locked="0" layoutInCell="0" allowOverlap="1" relativeHeight="6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53035" cy="175260"/>
              <wp:effectExtent l="0" t="0" r="0" b="0"/>
              <wp:wrapSquare wrapText="bothSides"/>
              <wp:docPr id="47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035" cy="17526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pBdr/>
                            <w:spacing w:before="0" w:after="200"/>
                            <w:rPr/>
                          </w:pPr>
                          <w:r>
                            <w:rPr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14</w:t>
                          </w:r>
                          <w:r>
                            <w:rPr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2.05pt;height:13.8pt;mso-wrap-distance-left:0pt;mso-wrap-distance-right:0pt;mso-wrap-distance-top:0pt;mso-wrap-distance-bottom:0pt;margin-top:0.05pt;mso-position-vertical-relative:text;margin-left:234.9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Normal"/>
                      <w:pBdr/>
                      <w:spacing w:before="0" w:after="200"/>
                      <w:rPr/>
                    </w:pPr>
                    <w:r>
                      <w:rPr>
                        <w:sz w:val="24"/>
                      </w:rPr>
                      <w:fldChar w:fldCharType="begin"/>
                    </w:r>
                    <w:r>
                      <w:rPr>
                        <w:sz w:val="24"/>
                      </w:rPr>
                      <w:instrText> PAGE </w:instrText>
                    </w:r>
                    <w:r>
                      <w:rPr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14</w:t>
                    </w:r>
                    <w:r>
                      <w:rPr>
                        <w:sz w:val="24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roid Sans Fallback" w:cs="Droid Sans Devanagari"/>
        <w:color w:val="000000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eading 10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toc 10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link w:val="Style_8_ch"/>
    <w:uiPriority w:val="0"/>
    <w:qFormat/>
    <w:pPr>
      <w:widowControl/>
      <w:bidi w:val="0"/>
      <w:spacing w:lineRule="auto" w:line="276" w:before="0" w:after="20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">
    <w:name w:val="Heading 1"/>
    <w:basedOn w:val="Normal"/>
    <w:next w:val="Normal"/>
    <w:link w:val="Style_31_ch"/>
    <w:uiPriority w:val="9"/>
    <w:qFormat/>
    <w:pPr>
      <w:keepNext w:val="true"/>
      <w:keepLines/>
      <w:spacing w:before="480" w:after="0"/>
      <w:outlineLvl w:val="0"/>
    </w:pPr>
    <w:rPr>
      <w:rFonts w:ascii="Cambria" w:hAnsi="Cambria"/>
      <w:b/>
      <w:color w:val="365F91"/>
    </w:rPr>
  </w:style>
  <w:style w:type="paragraph" w:styleId="2">
    <w:name w:val="Heading 2"/>
    <w:next w:val="Normal"/>
    <w:link w:val="Style_55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1"/>
    </w:pPr>
    <w:rPr>
      <w:rFonts w:ascii="XO Thames" w:hAnsi="XO Thames" w:eastAsia="Droid Sans Fallback" w:cs="Droid Sans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link w:val="Style_16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2"/>
    </w:pPr>
    <w:rPr>
      <w:rFonts w:ascii="XO Thames" w:hAnsi="XO Thames" w:eastAsia="Droid Sans Fallback" w:cs="Droid Sans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link w:val="Style_54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3"/>
    </w:pPr>
    <w:rPr>
      <w:rFonts w:ascii="XO Thames" w:hAnsi="XO Thames" w:eastAsia="Droid Sans Fallback" w:cs="Droid Sans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link w:val="Style_29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4"/>
    </w:pPr>
    <w:rPr>
      <w:rFonts w:ascii="XO Thames" w:hAnsi="XO Thames" w:eastAsia="Droid Sans Fallback" w:cs="Droid Sans Devanagari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Contents2">
    <w:name w:val="Contents 2"/>
    <w:link w:val="Style_9"/>
    <w:qFormat/>
    <w:rPr>
      <w:rFonts w:ascii="XO Thames" w:hAnsi="XO Thames"/>
      <w:sz w:val="28"/>
    </w:rPr>
  </w:style>
  <w:style w:type="character" w:styleId="FontStyle11">
    <w:name w:val="Font Style11"/>
    <w:link w:val="Style_10"/>
    <w:qFormat/>
    <w:rPr>
      <w:sz w:val="22"/>
    </w:rPr>
  </w:style>
  <w:style w:type="character" w:styleId="Contents4">
    <w:name w:val="Contents 4"/>
    <w:link w:val="Style_11"/>
    <w:qFormat/>
    <w:rPr>
      <w:rFonts w:ascii="XO Thames" w:hAnsi="XO Thames"/>
      <w:sz w:val="28"/>
    </w:rPr>
  </w:style>
  <w:style w:type="character" w:styleId="Contents6">
    <w:name w:val="Contents 6"/>
    <w:link w:val="Style_12"/>
    <w:qFormat/>
    <w:rPr>
      <w:rFonts w:ascii="XO Thames" w:hAnsi="XO Thames"/>
      <w:sz w:val="28"/>
    </w:rPr>
  </w:style>
  <w:style w:type="character" w:styleId="Contents7">
    <w:name w:val="Contents 7"/>
    <w:link w:val="Style_13"/>
    <w:qFormat/>
    <w:rPr>
      <w:rFonts w:ascii="XO Thames" w:hAnsi="XO Thames"/>
      <w:sz w:val="28"/>
    </w:rPr>
  </w:style>
  <w:style w:type="character" w:styleId="Epm">
    <w:name w:val="epm"/>
    <w:basedOn w:val="14"/>
    <w:link w:val="Style_14"/>
    <w:qFormat/>
    <w:rPr/>
  </w:style>
  <w:style w:type="character" w:styleId="11">
    <w:name w:val="Знак примечания1"/>
    <w:link w:val="Style_5"/>
    <w:qFormat/>
    <w:rPr>
      <w:sz w:val="16"/>
    </w:rPr>
  </w:style>
  <w:style w:type="character" w:styleId="Heading3">
    <w:name w:val="Heading 3"/>
    <w:link w:val="Style_16"/>
    <w:qFormat/>
    <w:rPr>
      <w:rFonts w:ascii="XO Thames" w:hAnsi="XO Thames"/>
      <w:b/>
      <w:sz w:val="26"/>
    </w:rPr>
  </w:style>
  <w:style w:type="character" w:styleId="HTMLAddress">
    <w:name w:val="HTML Address"/>
    <w:link w:val="Style_17"/>
    <w:qFormat/>
    <w:rPr>
      <w:i/>
      <w:sz w:val="24"/>
    </w:rPr>
  </w:style>
  <w:style w:type="character" w:styleId="NormalWeb">
    <w:name w:val="Normal (Web)"/>
    <w:link w:val="Style_18"/>
    <w:qFormat/>
    <w:rPr>
      <w:sz w:val="24"/>
    </w:rPr>
  </w:style>
  <w:style w:type="character" w:styleId="Style16">
    <w:name w:val="Style16"/>
    <w:link w:val="Style_19"/>
    <w:qFormat/>
    <w:rPr>
      <w:rFonts w:ascii="Segoe UI" w:hAnsi="Segoe UI"/>
      <w:sz w:val="24"/>
    </w:rPr>
  </w:style>
  <w:style w:type="character" w:styleId="FontStyle35">
    <w:name w:val="Font Style35"/>
    <w:link w:val="Style_20"/>
    <w:qFormat/>
    <w:rPr>
      <w:rFonts w:ascii="Segoe UI" w:hAnsi="Segoe UI"/>
    </w:rPr>
  </w:style>
  <w:style w:type="character" w:styleId="12">
    <w:name w:val="Знак сноски1"/>
    <w:link w:val="Style_21"/>
    <w:qFormat/>
    <w:rPr>
      <w:vertAlign w:val="superscript"/>
    </w:rPr>
  </w:style>
  <w:style w:type="character" w:styleId="Blk">
    <w:name w:val="blk"/>
    <w:basedOn w:val="14"/>
    <w:link w:val="Style_22"/>
    <w:qFormat/>
    <w:rPr/>
  </w:style>
  <w:style w:type="character" w:styleId="13">
    <w:name w:val="Основной текст1"/>
    <w:link w:val="Style_23"/>
    <w:qFormat/>
    <w:rPr>
      <w:sz w:val="27"/>
    </w:rPr>
  </w:style>
  <w:style w:type="character" w:styleId="Style9">
    <w:name w:val="С_Т"/>
    <w:link w:val="Style_4"/>
    <w:qFormat/>
    <w:rPr>
      <w:sz w:val="24"/>
    </w:rPr>
  </w:style>
  <w:style w:type="character" w:styleId="BalloonText">
    <w:name w:val="Balloon Text"/>
    <w:link w:val="Style_24"/>
    <w:qFormat/>
    <w:rPr>
      <w:rFonts w:ascii="Tahoma" w:hAnsi="Tahoma"/>
      <w:sz w:val="16"/>
    </w:rPr>
  </w:style>
  <w:style w:type="character" w:styleId="ListParagraph">
    <w:name w:val="List Paragraph"/>
    <w:link w:val="Style_2"/>
    <w:qFormat/>
    <w:rPr>
      <w:sz w:val="24"/>
    </w:rPr>
  </w:style>
  <w:style w:type="character" w:styleId="Contents3">
    <w:name w:val="Contents 3"/>
    <w:link w:val="Style_25"/>
    <w:qFormat/>
    <w:rPr>
      <w:rFonts w:ascii="XO Thames" w:hAnsi="XO Thames"/>
      <w:sz w:val="28"/>
    </w:rPr>
  </w:style>
  <w:style w:type="character" w:styleId="Annotationtext">
    <w:name w:val="annotation text"/>
    <w:link w:val="Style_26"/>
    <w:qFormat/>
    <w:rPr>
      <w:sz w:val="20"/>
    </w:rPr>
  </w:style>
  <w:style w:type="character" w:styleId="ConsPlusNormal">
    <w:name w:val="ConsPlusNormal"/>
    <w:link w:val="Style_27"/>
    <w:qFormat/>
    <w:rPr>
      <w:rFonts w:ascii="Arial" w:hAnsi="Arial"/>
    </w:rPr>
  </w:style>
  <w:style w:type="character" w:styleId="Annotationsubject">
    <w:name w:val="annotation subject"/>
    <w:basedOn w:val="Annotationtext"/>
    <w:link w:val="Style_28"/>
    <w:qFormat/>
    <w:rPr>
      <w:b/>
    </w:rPr>
  </w:style>
  <w:style w:type="character" w:styleId="Heading5">
    <w:name w:val="Heading 5"/>
    <w:link w:val="Style_29"/>
    <w:qFormat/>
    <w:rPr>
      <w:rFonts w:ascii="XO Thames" w:hAnsi="XO Thames"/>
      <w:b/>
      <w:sz w:val="22"/>
    </w:rPr>
  </w:style>
  <w:style w:type="character" w:styleId="14">
    <w:name w:val="Основной шрифт абзаца1"/>
    <w:link w:val="Style_15"/>
    <w:qFormat/>
    <w:rPr/>
  </w:style>
  <w:style w:type="character" w:styleId="21">
    <w:name w:val="Основной текст (2)"/>
    <w:link w:val="Style_30"/>
    <w:qFormat/>
    <w:rPr>
      <w:sz w:val="16"/>
    </w:rPr>
  </w:style>
  <w:style w:type="character" w:styleId="Heading1">
    <w:name w:val="Heading 1"/>
    <w:link w:val="Style_31"/>
    <w:qFormat/>
    <w:rPr>
      <w:rFonts w:ascii="Cambria" w:hAnsi="Cambria"/>
      <w:b/>
      <w:color w:val="365F91"/>
    </w:rPr>
  </w:style>
  <w:style w:type="character" w:styleId="Header">
    <w:name w:val="Header"/>
    <w:link w:val="Style_1"/>
    <w:qFormat/>
    <w:rPr/>
  </w:style>
  <w:style w:type="character" w:styleId="Style10">
    <w:name w:val="Интернет-ссылка"/>
    <w:link w:val="Style_32"/>
    <w:rPr>
      <w:color w:val="0000FF"/>
      <w:u w:val="single"/>
    </w:rPr>
  </w:style>
  <w:style w:type="character" w:styleId="Footnote">
    <w:name w:val="Footnote"/>
    <w:link w:val="Style_33"/>
    <w:qFormat/>
    <w:rPr>
      <w:sz w:val="20"/>
    </w:rPr>
  </w:style>
  <w:style w:type="character" w:styleId="Contents1">
    <w:name w:val="Contents 1"/>
    <w:link w:val="Style_34"/>
    <w:qFormat/>
    <w:rPr>
      <w:rFonts w:ascii="XO Thames" w:hAnsi="XO Thames"/>
      <w:b/>
      <w:sz w:val="28"/>
    </w:rPr>
  </w:style>
  <w:style w:type="character" w:styleId="NoSpacing">
    <w:name w:val="No Spacing"/>
    <w:link w:val="Style_35"/>
    <w:qFormat/>
    <w:rPr>
      <w:rFonts w:ascii="Microsoft Sans Serif" w:hAnsi="Microsoft Sans Serif"/>
      <w:sz w:val="24"/>
    </w:rPr>
  </w:style>
  <w:style w:type="character" w:styleId="HeaderandFooter">
    <w:name w:val="Header and Footer"/>
    <w:link w:val="Style_36"/>
    <w:qFormat/>
    <w:rPr>
      <w:rFonts w:ascii="XO Thames" w:hAnsi="XO Thames"/>
    </w:rPr>
  </w:style>
  <w:style w:type="character" w:styleId="Textbodyindent">
    <w:name w:val="Text body indent"/>
    <w:link w:val="Style_37"/>
    <w:qFormat/>
    <w:rPr/>
  </w:style>
  <w:style w:type="character" w:styleId="FontStyle18">
    <w:name w:val="Font Style18"/>
    <w:link w:val="Style_38"/>
    <w:qFormat/>
    <w:rPr>
      <w:sz w:val="22"/>
    </w:rPr>
  </w:style>
  <w:style w:type="character" w:styleId="15">
    <w:name w:val="Заголовок №1"/>
    <w:link w:val="Style_39"/>
    <w:qFormat/>
    <w:rPr>
      <w:sz w:val="27"/>
    </w:rPr>
  </w:style>
  <w:style w:type="character" w:styleId="Style41">
    <w:name w:val="Style4"/>
    <w:link w:val="Style_40"/>
    <w:qFormat/>
    <w:rPr>
      <w:sz w:val="24"/>
    </w:rPr>
  </w:style>
  <w:style w:type="character" w:styleId="131">
    <w:name w:val="Основной текст (13)"/>
    <w:link w:val="Style_41"/>
    <w:qFormat/>
    <w:rPr>
      <w:sz w:val="27"/>
    </w:rPr>
  </w:style>
  <w:style w:type="character" w:styleId="Contents9">
    <w:name w:val="Contents 9"/>
    <w:link w:val="Style_42"/>
    <w:qFormat/>
    <w:rPr>
      <w:rFonts w:ascii="XO Thames" w:hAnsi="XO Thames"/>
      <w:sz w:val="28"/>
    </w:rPr>
  </w:style>
  <w:style w:type="character" w:styleId="ConsPlusTitle">
    <w:name w:val="ConsPlusTitle"/>
    <w:link w:val="Style_43"/>
    <w:qFormat/>
    <w:rPr>
      <w:rFonts w:ascii="Calibri" w:hAnsi="Calibri"/>
      <w:b/>
      <w:sz w:val="22"/>
    </w:rPr>
  </w:style>
  <w:style w:type="character" w:styleId="Style11">
    <w:name w:val="Стиль"/>
    <w:link w:val="Style_44"/>
    <w:qFormat/>
    <w:rPr>
      <w:rFonts w:ascii="Arial" w:hAnsi="Arial"/>
      <w:sz w:val="24"/>
    </w:rPr>
  </w:style>
  <w:style w:type="character" w:styleId="Contents8">
    <w:name w:val="Contents 8"/>
    <w:link w:val="Style_45"/>
    <w:qFormat/>
    <w:rPr>
      <w:rFonts w:ascii="XO Thames" w:hAnsi="XO Thames"/>
      <w:sz w:val="28"/>
    </w:rPr>
  </w:style>
  <w:style w:type="character" w:styleId="Footer">
    <w:name w:val="Footer"/>
    <w:link w:val="Style_46"/>
    <w:qFormat/>
    <w:rPr/>
  </w:style>
  <w:style w:type="character" w:styleId="DefaultParagraphFont">
    <w:name w:val="Default Paragraph Font"/>
    <w:link w:val="Style_47"/>
    <w:qFormat/>
    <w:rPr/>
  </w:style>
  <w:style w:type="character" w:styleId="Contents5">
    <w:name w:val="Contents 5"/>
    <w:link w:val="Style_48"/>
    <w:qFormat/>
    <w:rPr>
      <w:rFonts w:ascii="XO Thames" w:hAnsi="XO Thames"/>
      <w:sz w:val="28"/>
    </w:rPr>
  </w:style>
  <w:style w:type="character" w:styleId="16">
    <w:name w:val="Обычный1"/>
    <w:link w:val="Style_6"/>
    <w:qFormat/>
    <w:rPr>
      <w:sz w:val="28"/>
    </w:rPr>
  </w:style>
  <w:style w:type="character" w:styleId="17">
    <w:name w:val="Гиперссылка1"/>
    <w:link w:val="Style_49"/>
    <w:qFormat/>
    <w:rPr>
      <w:color w:val="0000FF"/>
      <w:u w:val="single"/>
    </w:rPr>
  </w:style>
  <w:style w:type="character" w:styleId="18">
    <w:name w:val="Выделение1"/>
    <w:link w:val="Style_50"/>
    <w:qFormat/>
    <w:rPr>
      <w:i/>
    </w:rPr>
  </w:style>
  <w:style w:type="character" w:styleId="Subtitle">
    <w:name w:val="Subtitle"/>
    <w:link w:val="Style_51"/>
    <w:qFormat/>
    <w:rPr>
      <w:rFonts w:ascii="XO Thames" w:hAnsi="XO Thames"/>
      <w:i/>
      <w:sz w:val="24"/>
    </w:rPr>
  </w:style>
  <w:style w:type="character" w:styleId="Toc10">
    <w:name w:val="toc 10"/>
    <w:link w:val="Style_52"/>
    <w:qFormat/>
    <w:rPr>
      <w:rFonts w:ascii="XO Thames" w:hAnsi="XO Thames"/>
      <w:sz w:val="28"/>
    </w:rPr>
  </w:style>
  <w:style w:type="character" w:styleId="Title">
    <w:name w:val="Title"/>
    <w:link w:val="Style_53"/>
    <w:qFormat/>
    <w:rPr>
      <w:rFonts w:ascii="XO Thames" w:hAnsi="XO Thames"/>
      <w:b/>
      <w:caps/>
      <w:sz w:val="40"/>
    </w:rPr>
  </w:style>
  <w:style w:type="character" w:styleId="Heading4">
    <w:name w:val="Heading 4"/>
    <w:link w:val="Style_54"/>
    <w:qFormat/>
    <w:rPr>
      <w:rFonts w:ascii="XO Thames" w:hAnsi="XO Thames"/>
      <w:b/>
      <w:sz w:val="24"/>
    </w:rPr>
  </w:style>
  <w:style w:type="character" w:styleId="Heading2">
    <w:name w:val="Heading 2"/>
    <w:link w:val="Style_55"/>
    <w:qFormat/>
    <w:rPr>
      <w:rFonts w:ascii="XO Thames" w:hAnsi="XO Thames"/>
      <w:b/>
      <w:sz w:val="28"/>
    </w:rPr>
  </w:style>
  <w:style w:type="character" w:styleId="19">
    <w:name w:val="Строгий1"/>
    <w:link w:val="Style_56"/>
    <w:qFormat/>
    <w:rPr>
      <w:b/>
    </w:rPr>
  </w:style>
  <w:style w:type="character" w:styleId="Appleconvertedspace">
    <w:name w:val="apple-converted-space"/>
    <w:link w:val="Style_57"/>
    <w:qFormat/>
    <w:rPr/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Droid Sans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Droid Sans Devanagari"/>
    </w:rPr>
  </w:style>
  <w:style w:type="paragraph" w:styleId="22">
    <w:name w:val="TOC 2"/>
    <w:next w:val="Normal"/>
    <w:link w:val="Style_9_ch"/>
    <w:uiPriority w:val="39"/>
    <w:pPr>
      <w:widowControl/>
      <w:bidi w:val="0"/>
      <w:spacing w:lineRule="auto" w:line="240" w:before="0" w:after="0"/>
      <w:ind w:left="2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FontStyle111">
    <w:name w:val="Font Style11"/>
    <w:link w:val="Style_1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41">
    <w:name w:val="TOC 4"/>
    <w:next w:val="Normal"/>
    <w:link w:val="Style_11_ch"/>
    <w:uiPriority w:val="39"/>
    <w:pPr>
      <w:widowControl/>
      <w:bidi w:val="0"/>
      <w:spacing w:lineRule="auto" w:line="240" w:before="0" w:after="0"/>
      <w:ind w:left="6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6">
    <w:name w:val="TOC 6"/>
    <w:next w:val="Normal"/>
    <w:link w:val="Style_12_ch"/>
    <w:uiPriority w:val="39"/>
    <w:pPr>
      <w:widowControl/>
      <w:bidi w:val="0"/>
      <w:spacing w:lineRule="auto" w:line="240" w:before="0" w:after="0"/>
      <w:ind w:left="10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7">
    <w:name w:val="TOC 7"/>
    <w:next w:val="Normal"/>
    <w:link w:val="Style_13_ch"/>
    <w:uiPriority w:val="39"/>
    <w:pPr>
      <w:widowControl/>
      <w:bidi w:val="0"/>
      <w:spacing w:lineRule="auto" w:line="240" w:before="0" w:after="0"/>
      <w:ind w:left="12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Epm1">
    <w:name w:val="epm"/>
    <w:basedOn w:val="113"/>
    <w:link w:val="Style_14_ch"/>
    <w:qFormat/>
    <w:pPr/>
    <w:rPr/>
  </w:style>
  <w:style w:type="paragraph" w:styleId="110">
    <w:name w:val="Знак примечания1"/>
    <w:link w:val="Style_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16"/>
      <w:szCs w:val="20"/>
      <w:lang w:val="ru-RU" w:eastAsia="zh-CN" w:bidi="hi-IN"/>
    </w:rPr>
  </w:style>
  <w:style w:type="paragraph" w:styleId="HTMLAddress1">
    <w:name w:val="HTML Address"/>
    <w:basedOn w:val="Normal"/>
    <w:link w:val="Style_17_ch"/>
    <w:qFormat/>
    <w:pPr>
      <w:spacing w:lineRule="auto" w:line="240" w:before="0" w:after="0"/>
    </w:pPr>
    <w:rPr>
      <w:i/>
      <w:sz w:val="24"/>
    </w:rPr>
  </w:style>
  <w:style w:type="paragraph" w:styleId="NormalWeb1">
    <w:name w:val="Normal (Web)"/>
    <w:basedOn w:val="Normal"/>
    <w:link w:val="Style_18_ch"/>
    <w:qFormat/>
    <w:pPr>
      <w:spacing w:lineRule="auto" w:line="240" w:beforeAutospacing="1" w:afterAutospacing="1"/>
    </w:pPr>
    <w:rPr>
      <w:sz w:val="24"/>
    </w:rPr>
  </w:style>
  <w:style w:type="paragraph" w:styleId="Style161">
    <w:name w:val="Style16"/>
    <w:basedOn w:val="Normal"/>
    <w:link w:val="Style_19_ch"/>
    <w:qFormat/>
    <w:pPr>
      <w:widowControl w:val="false"/>
      <w:spacing w:lineRule="auto" w:line="240" w:before="0" w:after="0"/>
    </w:pPr>
    <w:rPr>
      <w:rFonts w:ascii="Segoe UI" w:hAnsi="Segoe UI"/>
      <w:sz w:val="24"/>
    </w:rPr>
  </w:style>
  <w:style w:type="paragraph" w:styleId="FontStyle351">
    <w:name w:val="Font Style35"/>
    <w:link w:val="Style_2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egoe UI" w:hAnsi="Segoe UI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111">
    <w:name w:val="Знак сноски1"/>
    <w:link w:val="Style_21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Blk1">
    <w:name w:val="blk"/>
    <w:basedOn w:val="113"/>
    <w:link w:val="Style_22_ch"/>
    <w:qFormat/>
    <w:pPr/>
    <w:rPr/>
  </w:style>
  <w:style w:type="paragraph" w:styleId="112">
    <w:name w:val="Основной текст1"/>
    <w:basedOn w:val="Normal"/>
    <w:link w:val="Style_23_ch"/>
    <w:qFormat/>
    <w:pPr>
      <w:spacing w:lineRule="exact" w:line="475" w:before="240" w:after="0"/>
      <w:jc w:val="both"/>
    </w:pPr>
    <w:rPr>
      <w:sz w:val="27"/>
    </w:rPr>
  </w:style>
  <w:style w:type="paragraph" w:styleId="Style18">
    <w:name w:val="С_Т"/>
    <w:link w:val="Style_4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BalloonText1">
    <w:name w:val="Balloon Text"/>
    <w:basedOn w:val="Normal"/>
    <w:link w:val="Style_24_ch"/>
    <w:qFormat/>
    <w:pPr>
      <w:spacing w:lineRule="auto" w:line="240" w:before="0" w:after="0"/>
    </w:pPr>
    <w:rPr>
      <w:rFonts w:ascii="Tahoma" w:hAnsi="Tahoma"/>
      <w:sz w:val="16"/>
    </w:rPr>
  </w:style>
  <w:style w:type="paragraph" w:styleId="ListParagraph1">
    <w:name w:val="List Paragraph"/>
    <w:basedOn w:val="Normal"/>
    <w:link w:val="Style_2_ch"/>
    <w:qFormat/>
    <w:pPr>
      <w:spacing w:before="0" w:after="200"/>
      <w:ind w:left="720" w:right="0" w:hanging="0"/>
      <w:contextualSpacing/>
      <w:jc w:val="both"/>
    </w:pPr>
    <w:rPr>
      <w:sz w:val="24"/>
    </w:rPr>
  </w:style>
  <w:style w:type="paragraph" w:styleId="31">
    <w:name w:val="TOC 3"/>
    <w:next w:val="Normal"/>
    <w:link w:val="Style_25_ch"/>
    <w:uiPriority w:val="39"/>
    <w:pPr>
      <w:widowControl/>
      <w:bidi w:val="0"/>
      <w:spacing w:lineRule="auto" w:line="240" w:before="0" w:after="0"/>
      <w:ind w:left="4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Annotationtext1">
    <w:name w:val="annotation text"/>
    <w:basedOn w:val="Normal"/>
    <w:link w:val="Style_26_ch"/>
    <w:qFormat/>
    <w:pPr/>
    <w:rPr>
      <w:sz w:val="20"/>
    </w:rPr>
  </w:style>
  <w:style w:type="paragraph" w:styleId="ConsPlusNormal1">
    <w:name w:val="ConsPlusNormal"/>
    <w:link w:val="Style_27_ch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Arial" w:hAnsi="Arial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Annotationsubject1">
    <w:name w:val="annotation subject"/>
    <w:basedOn w:val="Annotationtext1"/>
    <w:next w:val="Annotationtext1"/>
    <w:link w:val="Style_28_ch"/>
    <w:qFormat/>
    <w:pPr/>
    <w:rPr>
      <w:b/>
    </w:rPr>
  </w:style>
  <w:style w:type="paragraph" w:styleId="113">
    <w:name w:val="Основной шрифт абзаца1"/>
    <w:link w:val="Style_1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23">
    <w:name w:val="Основной текст (2)"/>
    <w:basedOn w:val="Normal"/>
    <w:link w:val="Style_30_ch"/>
    <w:qFormat/>
    <w:pPr>
      <w:spacing w:lineRule="atLeast" w:line="240" w:before="0" w:after="0"/>
      <w:ind w:left="460" w:right="0" w:hanging="460"/>
    </w:pPr>
    <w:rPr>
      <w:sz w:val="16"/>
    </w:rPr>
  </w:style>
  <w:style w:type="paragraph" w:styleId="Style19">
    <w:name w:val="Верхний и нижний колонтитулы"/>
    <w:link w:val="Style_36_ch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20">
    <w:name w:val="Header"/>
    <w:basedOn w:val="Normal"/>
    <w:link w:val="Style_1_ch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Internetlink">
    <w:name w:val="Hyperlink"/>
    <w:link w:val="Style_32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Footnote1">
    <w:name w:val="Footnote"/>
    <w:basedOn w:val="Normal"/>
    <w:link w:val="Style_33_ch"/>
    <w:qFormat/>
    <w:pPr/>
    <w:rPr>
      <w:sz w:val="20"/>
    </w:rPr>
  </w:style>
  <w:style w:type="paragraph" w:styleId="114">
    <w:name w:val="TOC 1"/>
    <w:next w:val="Normal"/>
    <w:link w:val="Style_34_ch"/>
    <w:uiPriority w:val="39"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Droid Sans Fallback" w:cs="Droid Sans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NoSpacing1">
    <w:name w:val="No Spacing"/>
    <w:link w:val="Style_3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Microsoft Sans Serif" w:hAnsi="Microsoft Sans Serif" w:eastAsia="Droid Sans Fallback" w:cs="Droid Sans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Style21">
    <w:name w:val="Body Text Indent"/>
    <w:basedOn w:val="Normal"/>
    <w:link w:val="Style_37_ch"/>
    <w:pPr>
      <w:spacing w:lineRule="auto" w:line="240" w:before="0" w:after="0"/>
      <w:ind w:left="75" w:right="0" w:hanging="0"/>
      <w:jc w:val="both"/>
    </w:pPr>
    <w:rPr/>
  </w:style>
  <w:style w:type="paragraph" w:styleId="FontStyle181">
    <w:name w:val="Font Style18"/>
    <w:link w:val="Style_38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115">
    <w:name w:val="Заголовок №1"/>
    <w:basedOn w:val="Normal"/>
    <w:link w:val="Style_39_ch"/>
    <w:qFormat/>
    <w:pPr>
      <w:spacing w:lineRule="atLeast" w:line="240" w:before="480" w:after="240"/>
      <w:jc w:val="center"/>
      <w:outlineLvl w:val="0"/>
    </w:pPr>
    <w:rPr>
      <w:sz w:val="27"/>
    </w:rPr>
  </w:style>
  <w:style w:type="paragraph" w:styleId="Style42">
    <w:name w:val="Style4"/>
    <w:basedOn w:val="Normal"/>
    <w:link w:val="Style_40_ch"/>
    <w:qFormat/>
    <w:pPr>
      <w:widowControl w:val="false"/>
      <w:spacing w:lineRule="auto" w:line="240" w:before="0" w:after="0"/>
    </w:pPr>
    <w:rPr>
      <w:sz w:val="24"/>
    </w:rPr>
  </w:style>
  <w:style w:type="paragraph" w:styleId="132">
    <w:name w:val="Основной текст (13)"/>
    <w:basedOn w:val="Normal"/>
    <w:link w:val="Style_41_ch"/>
    <w:qFormat/>
    <w:pPr>
      <w:spacing w:lineRule="atLeast" w:line="240" w:before="180" w:after="420"/>
    </w:pPr>
    <w:rPr>
      <w:sz w:val="27"/>
    </w:rPr>
  </w:style>
  <w:style w:type="paragraph" w:styleId="9">
    <w:name w:val="TOC 9"/>
    <w:next w:val="Normal"/>
    <w:link w:val="Style_42_ch"/>
    <w:uiPriority w:val="39"/>
    <w:pPr>
      <w:widowControl/>
      <w:bidi w:val="0"/>
      <w:spacing w:lineRule="auto" w:line="240" w:before="0" w:after="0"/>
      <w:ind w:left="16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ConsPlusTitle1">
    <w:name w:val="ConsPlusTitle"/>
    <w:link w:val="Style_43_ch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Droid Sans Fallback" w:cs="Droid Sans Devanagari"/>
      <w:b/>
      <w:color w:val="000000"/>
      <w:spacing w:val="0"/>
      <w:kern w:val="0"/>
      <w:sz w:val="22"/>
      <w:szCs w:val="20"/>
      <w:lang w:val="ru-RU" w:eastAsia="zh-CN" w:bidi="hi-IN"/>
    </w:rPr>
  </w:style>
  <w:style w:type="paragraph" w:styleId="Style22">
    <w:name w:val="Стиль"/>
    <w:link w:val="Style_44_ch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Arial" w:hAnsi="Arial" w:eastAsia="Droid Sans Fallback" w:cs="Droid Sans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8">
    <w:name w:val="TOC 8"/>
    <w:next w:val="Normal"/>
    <w:link w:val="Style_45_ch"/>
    <w:uiPriority w:val="39"/>
    <w:pPr>
      <w:widowControl/>
      <w:bidi w:val="0"/>
      <w:spacing w:lineRule="auto" w:line="240" w:before="0" w:after="0"/>
      <w:ind w:left="14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3">
    <w:name w:val="Footer"/>
    <w:basedOn w:val="Normal"/>
    <w:link w:val="Style_46_ch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DefaultParagraphFont1">
    <w:name w:val="Default Paragraph Font"/>
    <w:link w:val="Style_47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51">
    <w:name w:val="TOC 5"/>
    <w:next w:val="Normal"/>
    <w:link w:val="Style_48_ch"/>
    <w:uiPriority w:val="39"/>
    <w:pPr>
      <w:widowControl/>
      <w:bidi w:val="0"/>
      <w:spacing w:lineRule="auto" w:line="240" w:before="0" w:after="0"/>
      <w:ind w:left="8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6">
    <w:name w:val="Обычный1"/>
    <w:link w:val="Style_6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7">
    <w:name w:val="Гиперссылка1"/>
    <w:link w:val="Style_4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118">
    <w:name w:val="Выделение1"/>
    <w:link w:val="Style_5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i/>
      <w:color w:val="000000"/>
      <w:spacing w:val="0"/>
      <w:kern w:val="0"/>
      <w:sz w:val="20"/>
      <w:szCs w:val="20"/>
      <w:lang w:val="ru-RU" w:eastAsia="zh-CN" w:bidi="hi-IN"/>
    </w:rPr>
  </w:style>
  <w:style w:type="paragraph" w:styleId="Style24">
    <w:name w:val="Subtitle"/>
    <w:next w:val="Normal"/>
    <w:link w:val="Style_51_ch"/>
    <w:uiPriority w:val="11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Droid Sans Fallback" w:cs="Droid Sans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Toc101">
    <w:name w:val="toc 10"/>
    <w:next w:val="Normal"/>
    <w:link w:val="Style_52_ch"/>
    <w:uiPriority w:val="39"/>
    <w:qFormat/>
    <w:pPr>
      <w:widowControl/>
      <w:bidi w:val="0"/>
      <w:spacing w:lineRule="auto" w:line="240" w:before="0" w:after="0"/>
      <w:ind w:left="18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5">
    <w:name w:val="Title"/>
    <w:next w:val="Normal"/>
    <w:link w:val="Style_53_ch"/>
    <w:uiPriority w:val="10"/>
    <w:qFormat/>
    <w:pPr>
      <w:widowControl/>
      <w:bidi w:val="0"/>
      <w:spacing w:lineRule="auto" w:line="240" w:before="567" w:after="567"/>
      <w:ind w:left="0" w:right="0" w:hanging="0"/>
      <w:jc w:val="center"/>
    </w:pPr>
    <w:rPr>
      <w:rFonts w:ascii="XO Thames" w:hAnsi="XO Thames" w:eastAsia="Droid Sans Fallback" w:cs="Droid Sans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119">
    <w:name w:val="Строгий1"/>
    <w:link w:val="Style_56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b/>
      <w:color w:val="000000"/>
      <w:spacing w:val="0"/>
      <w:kern w:val="0"/>
      <w:sz w:val="20"/>
      <w:szCs w:val="20"/>
      <w:lang w:val="ru-RU" w:eastAsia="zh-CN" w:bidi="hi-IN"/>
    </w:rPr>
  </w:style>
  <w:style w:type="paragraph" w:styleId="Appleconvertedspace1">
    <w:name w:val="apple-converted-space"/>
    <w:link w:val="Style_57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26">
    <w:name w:val="Содержимое врезки"/>
    <w:basedOn w:val="Normal"/>
    <w:qFormat/>
    <w:pPr/>
    <w:rPr/>
  </w:style>
  <w:style w:type="table" w:default="1" w:styleId="Style_7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tyle_58">
    <w:name w:val="Сетка таблицы3"/>
    <w:basedOn w:val="Style_7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59">
    <w:name w:val="Сетка таблицы5"/>
    <w:basedOn w:val="Style_7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60">
    <w:name w:val="Сетка таблицы1"/>
    <w:basedOn w:val="Style_7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3">
    <w:name w:val="Table Grid"/>
    <w:basedOn w:val="Style_7"/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61">
    <w:name w:val="Сетка таблицы4"/>
    <w:basedOn w:val="Style_7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table" w:styleId="Style_62">
    <w:name w:val="Сетка таблицы2"/>
    <w:basedOn w:val="Style_7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wmf"/><Relationship Id="rId5" Type="http://schemas.openxmlformats.org/officeDocument/2006/relationships/image" Target="media/image4.wmf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wmf"/><Relationship Id="rId39" Type="http://schemas.openxmlformats.org/officeDocument/2006/relationships/image" Target="media/image38.wmf"/><Relationship Id="rId40" Type="http://schemas.openxmlformats.org/officeDocument/2006/relationships/image" Target="media/image39.wmf"/><Relationship Id="rId41" Type="http://schemas.openxmlformats.org/officeDocument/2006/relationships/image" Target="media/image40.wmf"/><Relationship Id="rId42" Type="http://schemas.openxmlformats.org/officeDocument/2006/relationships/image" Target="media/image41.wmf"/><Relationship Id="rId43" Type="http://schemas.openxmlformats.org/officeDocument/2006/relationships/image" Target="media/image42.wmf"/><Relationship Id="rId44" Type="http://schemas.openxmlformats.org/officeDocument/2006/relationships/image" Target="media/image43.wmf"/><Relationship Id="rId45" Type="http://schemas.openxmlformats.org/officeDocument/2006/relationships/image" Target="media/image44.wmf"/><Relationship Id="rId46" Type="http://schemas.openxmlformats.org/officeDocument/2006/relationships/image" Target="media/image45.wmf"/><Relationship Id="rId47" Type="http://schemas.openxmlformats.org/officeDocument/2006/relationships/image" Target="media/image46.png"/><Relationship Id="rId48" Type="http://schemas.openxmlformats.org/officeDocument/2006/relationships/header" Target="header1.xml"/><Relationship Id="rId49" Type="http://schemas.openxmlformats.org/officeDocument/2006/relationships/numbering" Target="numbering.xml"/><Relationship Id="rId50" Type="http://schemas.openxmlformats.org/officeDocument/2006/relationships/fontTable" Target="fontTable.xml"/><Relationship Id="rId51" Type="http://schemas.openxmlformats.org/officeDocument/2006/relationships/settings" Target="settings.xml"/><Relationship Id="rId5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LibreOffice/7.0.6.2$Linux_X86_64 LibreOffice_project/00$Build-2</Application>
  <AppVersion>15.0000</AppVersion>
  <Pages>14</Pages>
  <Words>3675</Words>
  <Characters>24386</Characters>
  <CharactersWithSpaces>27457</CharactersWithSpaces>
  <Paragraphs>688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2024-03-18T15:48:52Z</dcterms:modified>
  <cp:revision>1</cp:revision>
  <dc:subject/>
  <dc:title/>
</cp:coreProperties>
</file>