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П</w:t>
      </w:r>
      <w:r>
        <w:rPr>
          <w:rStyle w:val="Style_1_ch"/>
          <w:rFonts w:ascii="Times New Roman" w:hAnsi="Times New Roman"/>
          <w:b w:val="1"/>
          <w:sz w:val="28"/>
        </w:rPr>
        <w:t>аспорт практического задания (кейс-задания)</w:t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ЗАДАЧА «Составление финансовой отчетности и ее анализ»</w:t>
      </w:r>
    </w:p>
    <w:tbl>
      <w:tblPr>
        <w:tblStyle w:val="Style_2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8"/>
        <w:gridCol w:w="2877"/>
        <w:gridCol w:w="2563"/>
        <w:gridCol w:w="3227"/>
      </w:tblGrid>
      <w:tr>
        <w:trPr>
          <w:trHeight w:hRule="atLeast" w:val="36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оцениваемых компетенций (ОК/ПК)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оцениваемых умений, навыков (практического опыта)</w:t>
            </w:r>
          </w:p>
        </w:tc>
      </w:tr>
      <w:tr>
        <w:trPr>
          <w:trHeight w:hRule="atLeast" w:val="1730"/>
        </w:trPr>
        <w:tc>
          <w:tcPr>
            <w:tcW w:type="dxa" w:w="7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1"/>
              <w:spacing w:before="0" w:line="276" w:lineRule="auto"/>
              <w:ind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ВД 1.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Составление и использование бухгалтерской (финансовой) отчетности</w:t>
            </w:r>
          </w:p>
        </w:tc>
        <w:tc>
          <w:tcPr>
            <w:tcW w:type="dxa" w:w="2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ПК 4.1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64" w:lineRule="auto"/>
              <w:ind w:firstLine="0" w:left="1" w:right="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Умение: отражать нарастающим итогом на счетах бухгалтерского учета имущественное и финансовое положение организации</w:t>
            </w:r>
          </w:p>
        </w:tc>
      </w:tr>
      <w:tr>
        <w:trPr>
          <w:trHeight w:hRule="atLeast" w:val="1990"/>
        </w:trPr>
        <w:tc>
          <w:tcPr>
            <w:tcW w:type="dxa" w:w="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64" w:lineRule="auto"/>
              <w:ind w:firstLine="0" w:left="1" w:righ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Умение: определять результаты хозяйственной деятельности за отчетный период</w:t>
            </w:r>
          </w:p>
        </w:tc>
      </w:tr>
      <w:tr>
        <w:trPr>
          <w:trHeight w:hRule="atLeast" w:val="1890"/>
        </w:trPr>
        <w:tc>
          <w:tcPr>
            <w:tcW w:type="dxa" w:w="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ПК 4.2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64" w:lineRule="auto"/>
              <w:ind w:firstLine="0" w:left="1" w:righ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Умение:  закрывать бухгалтерские регистры и заполнять  формы бухгалтерской отчетности в установленные законодательством сроки  </w:t>
            </w:r>
          </w:p>
        </w:tc>
      </w:tr>
      <w:tr>
        <w:trPr>
          <w:trHeight w:hRule="atLeast" w:val="1608"/>
        </w:trPr>
        <w:tc>
          <w:tcPr>
            <w:tcW w:type="dxa" w:w="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64" w:lineRule="auto"/>
              <w:ind w:firstLine="0" w:left="1" w:righ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Умение: составлять формы бухгалтерской (финансовой) отчетности в установленные законодательством сроки</w:t>
            </w:r>
          </w:p>
        </w:tc>
      </w:tr>
      <w:tr>
        <w:trPr>
          <w:trHeight w:hRule="atLeast" w:val="1634"/>
        </w:trPr>
        <w:tc>
          <w:tcPr>
            <w:tcW w:type="dxa" w:w="7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2 Анализ бухгалтерской (финансовой) отчётности</w:t>
            </w:r>
          </w:p>
        </w:tc>
        <w:tc>
          <w:tcPr>
            <w:tcW w:type="dxa" w:w="2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ПК 4.4.</w:t>
            </w:r>
            <w:r>
              <w:rPr>
                <w:rFonts w:ascii="Times New Roman" w:hAnsi="Times New Roman"/>
                <w:sz w:val="24"/>
              </w:rPr>
              <w:t xml:space="preserve"> 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Умение: проводить анализ информации о финансовом состоянии организации, ее платежеспособности и доходности</w:t>
            </w:r>
          </w:p>
        </w:tc>
      </w:tr>
      <w:tr>
        <w:trPr>
          <w:trHeight w:hRule="atLeast" w:val="1725"/>
        </w:trPr>
        <w:tc>
          <w:tcPr>
            <w:tcW w:type="dxa" w:w="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43" w:line="240" w:lineRule="auto"/>
              <w:ind w:firstLine="0" w:left="1"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Навык: составления бухгалтерской отчетности и использовании ее для анализа финансового состояния 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организации  </w:t>
            </w:r>
          </w:p>
        </w:tc>
      </w:tr>
    </w:tbl>
    <w:p w14:paraId="18000000">
      <w:pPr>
        <w:spacing w:after="0" w:line="360" w:lineRule="auto"/>
        <w:ind/>
        <w:jc w:val="center"/>
        <w:rPr>
          <w:b w:val="1"/>
          <w:sz w:val="24"/>
        </w:rPr>
      </w:pPr>
    </w:p>
    <w:p w14:paraId="19000000">
      <w:pPr>
        <w:spacing w:after="0" w:line="360" w:lineRule="auto"/>
        <w:ind/>
        <w:jc w:val="center"/>
        <w:rPr>
          <w:b w:val="1"/>
          <w:sz w:val="24"/>
        </w:rPr>
      </w:pPr>
    </w:p>
    <w:p w14:paraId="1A000000">
      <w:pPr>
        <w:spacing w:after="0" w:line="360" w:lineRule="auto"/>
        <w:ind/>
        <w:jc w:val="center"/>
        <w:rPr>
          <w:b w:val="1"/>
          <w:sz w:val="24"/>
        </w:rPr>
      </w:pPr>
    </w:p>
    <w:tbl>
      <w:tblPr>
        <w:tblStyle w:val="Style_3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70"/>
        <w:gridCol w:w="4770"/>
        <w:gridCol w:w="1350"/>
      </w:tblGrid>
      <w:tr>
        <w:trPr>
          <w:trHeight w:hRule="atLeast" w:val="1634"/>
        </w:trPr>
        <w:tc>
          <w:tcPr>
            <w:tcW w:type="dxa" w:w="3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Модуль задания</w:t>
            </w:r>
          </w:p>
          <w:p w14:paraId="1C000000">
            <w:pPr>
              <w:spacing w:after="0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(наименование вида деятельности/ вида профессиональной деятельности)</w:t>
            </w:r>
          </w:p>
        </w:tc>
        <w:tc>
          <w:tcPr>
            <w:tcW w:type="dxa" w:w="4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Критерий оценивания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Количество баллов</w:t>
            </w:r>
          </w:p>
        </w:tc>
      </w:tr>
      <w:t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37"/>
        </w:trPr>
        <w:tc>
          <w:tcPr>
            <w:tcW w:type="dxa" w:w="3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sz w:val="24"/>
              </w:rPr>
              <w:t>ВД 1</w:t>
            </w:r>
            <w:r>
              <w:rPr>
                <w:rFonts w:ascii="Times New Roman" w:hAnsi="Times New Roman"/>
                <w:sz w:val="24"/>
              </w:rPr>
              <w:t xml:space="preserve"> Составление и использование бухгалтерской (финансовой) отчетности</w:t>
            </w:r>
          </w:p>
        </w:tc>
        <w:tc>
          <w:tcPr>
            <w:tcW w:type="dxa" w:w="4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Произвести проверку оборотно-сальдовой ведомости</w:t>
            </w:r>
          </w:p>
          <w:p w14:paraId="2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Сформировать бухгалтерскую (финансовую) отчетность за отчетный год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hRule="atLeast" w:val="645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9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5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4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60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01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15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45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20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94"/>
        </w:trPr>
        <w:tc>
          <w:tcPr>
            <w:tcW w:type="dxa" w:w="3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ВД 2 Анализ бухгалтерской (финансовой) отчётности</w:t>
            </w:r>
          </w:p>
        </w:tc>
        <w:tc>
          <w:tcPr>
            <w:tcW w:type="dxa" w:w="4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Проанализировать отчетность предприятия 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анализируемый период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694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70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64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3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9"/>
        </w:trPr>
        <w:tc>
          <w:tcPr>
            <w:tcW w:type="dxa" w:w="3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Общее количество баллов</w:t>
            </w:r>
          </w:p>
        </w:tc>
        <w:tc>
          <w:tcPr>
            <w:tcW w:type="dxa" w:w="4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55,0</w:t>
            </w:r>
          </w:p>
        </w:tc>
      </w:tr>
    </w:tbl>
    <w:p w14:paraId="2A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</w:p>
    <w:p w14:paraId="2B000000">
      <w:pPr>
        <w:spacing w:after="0"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ПРАКТИЧЕСКОЕ ЗАДАНИЕ (КЕЙС-ЗАДАНИЕ)</w:t>
      </w:r>
    </w:p>
    <w:p w14:paraId="2C000000">
      <w:pPr>
        <w:spacing w:after="0"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Специальность 38.02.01 Экономика и бухгалтерский учет (по отраслям)</w:t>
      </w:r>
    </w:p>
    <w:p w14:paraId="2D000000">
      <w:pPr>
        <w:spacing w:after="0"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«Составление финансовой отчетности и ее анализ»</w:t>
      </w:r>
    </w:p>
    <w:p w14:paraId="2E000000">
      <w:pPr>
        <w:spacing w:after="59" w:line="264" w:lineRule="auto"/>
        <w:ind w:firstLine="0" w:left="708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 xml:space="preserve">На основании материалов кейсов Участнику необходимо: </w:t>
      </w:r>
    </w:p>
    <w:p w14:paraId="2F000000">
      <w:pPr>
        <w:spacing w:after="70" w:line="264" w:lineRule="auto"/>
        <w:ind w:firstLine="708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 xml:space="preserve">1) Сформировать бухгалтерскую (финансовую) отчетность за отчетный год                   с необходимыми пояснениями в составе Бухгалтерского баланса, Отчета о финансовых результатах. Организация является субъектом малого предпринимательства. ПБУ 18/02 не применяется. </w:t>
      </w:r>
    </w:p>
    <w:p w14:paraId="30000000">
      <w:pPr>
        <w:spacing w:after="63" w:line="264" w:lineRule="auto"/>
        <w:ind w:firstLine="0" w:left="708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 xml:space="preserve">2) Провести анализ бухгалтерского баланса </w:t>
      </w:r>
    </w:p>
    <w:p w14:paraId="31000000">
      <w:pPr>
        <w:spacing w:after="70" w:line="264" w:lineRule="auto"/>
        <w:ind w:hanging="10" w:left="718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3) Провести анализ отчета о финансовых результатах;</w:t>
      </w:r>
    </w:p>
    <w:p w14:paraId="32000000">
      <w:pPr>
        <w:spacing w:after="16" w:line="264" w:lineRule="auto"/>
        <w:ind w:firstLine="0" w:left="708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4) Провести анализ рентабельности производства и рентабельности продукции</w:t>
      </w:r>
      <w:r>
        <w:rPr>
          <w:rStyle w:val="Style_4_ch"/>
          <w:rFonts w:ascii="Times New Roman" w:hAnsi="Times New Roman"/>
          <w:sz w:val="24"/>
        </w:rPr>
        <w:tab/>
      </w:r>
      <w:r>
        <w:rPr>
          <w:rStyle w:val="Style_4_ch"/>
          <w:rFonts w:ascii="Times New Roman" w:hAnsi="Times New Roman"/>
          <w:sz w:val="24"/>
        </w:rPr>
        <w:t xml:space="preserve"> </w:t>
      </w:r>
    </w:p>
    <w:p w14:paraId="33000000">
      <w:pPr>
        <w:rPr>
          <w:rFonts w:ascii="PT Astra Serif" w:hAnsi="PT Astra Serif"/>
        </w:rPr>
      </w:pPr>
    </w:p>
    <w:p w14:paraId="34000000">
      <w:pPr>
        <w:rPr>
          <w:rFonts w:ascii="PT Astra Serif" w:hAnsi="PT Astra Serif"/>
        </w:rPr>
      </w:pPr>
    </w:p>
    <w:p w14:paraId="35000000">
      <w:pPr>
        <w:rPr>
          <w:rFonts w:ascii="PT Astra Serif" w:hAnsi="PT Astra Serif"/>
        </w:rPr>
      </w:pPr>
    </w:p>
    <w:p w14:paraId="36000000">
      <w:pPr>
        <w:rPr>
          <w:rFonts w:ascii="PT Astra Serif" w:hAnsi="PT Astra Serif"/>
        </w:rPr>
      </w:pPr>
    </w:p>
    <w:p w14:paraId="37000000">
      <w:pPr>
        <w:rPr>
          <w:rFonts w:ascii="PT Astra Serif" w:hAnsi="PT Astra Serif"/>
        </w:rPr>
      </w:pPr>
    </w:p>
    <w:p w14:paraId="38000000">
      <w:pPr>
        <w:rPr>
          <w:rFonts w:ascii="PT Astra Serif" w:hAnsi="PT Astra Serif"/>
        </w:rPr>
      </w:pPr>
    </w:p>
    <w:p w14:paraId="39000000">
      <w:pPr>
        <w:rPr>
          <w:rFonts w:ascii="PT Astra Serif" w:hAnsi="PT Astra Serif"/>
        </w:rPr>
      </w:pPr>
    </w:p>
    <w:p w14:paraId="3A000000">
      <w:pPr>
        <w:rPr>
          <w:rFonts w:ascii="PT Astra Serif" w:hAnsi="PT Astra Serif"/>
        </w:rPr>
      </w:pPr>
    </w:p>
    <w:p w14:paraId="3B000000">
      <w:pPr>
        <w:spacing w:before="269"/>
        <w:ind w:right="10"/>
        <w:jc w:val="right"/>
        <w:rPr>
          <w:rFonts w:ascii="PT Astra Serif" w:hAnsi="PT Astra Serif"/>
          <w:b w:val="1"/>
          <w:sz w:val="24"/>
        </w:rPr>
      </w:pPr>
    </w:p>
    <w:p w14:paraId="3C000000">
      <w:pPr>
        <w:spacing w:before="269"/>
        <w:ind w:right="10"/>
        <w:jc w:val="right"/>
        <w:rPr>
          <w:rFonts w:ascii="PT Astra Serif" w:hAnsi="PT Astra Serif"/>
          <w:b w:val="1"/>
          <w:sz w:val="24"/>
        </w:rPr>
      </w:pPr>
    </w:p>
    <w:p w14:paraId="3D000000">
      <w:pPr>
        <w:spacing w:before="269"/>
        <w:ind w:right="10"/>
        <w:jc w:val="right"/>
        <w:rPr>
          <w:rFonts w:ascii="PT Astra Serif" w:hAnsi="PT Astra Serif"/>
          <w:b w:val="1"/>
          <w:sz w:val="24"/>
        </w:rPr>
      </w:pPr>
    </w:p>
    <w:p w14:paraId="3E000000">
      <w:pPr>
        <w:spacing w:before="269"/>
        <w:ind w:right="10"/>
        <w:jc w:val="right"/>
        <w:rPr>
          <w:rFonts w:ascii="PT Astra Serif" w:hAnsi="PT Astra Serif"/>
          <w:b w:val="1"/>
          <w:sz w:val="24"/>
        </w:rPr>
      </w:pPr>
    </w:p>
    <w:p w14:paraId="3F000000">
      <w:pPr>
        <w:spacing w:before="269"/>
        <w:ind w:right="10"/>
        <w:jc w:val="right"/>
        <w:rPr>
          <w:rFonts w:ascii="PT Astra Serif" w:hAnsi="PT Astra Serif"/>
          <w:b w:val="1"/>
          <w:sz w:val="24"/>
        </w:rPr>
      </w:pPr>
    </w:p>
    <w:p w14:paraId="40000000">
      <w:pPr>
        <w:spacing w:before="269"/>
        <w:ind w:right="10"/>
        <w:jc w:val="right"/>
        <w:rPr>
          <w:rFonts w:ascii="PT Astra Serif" w:hAnsi="PT Astra Serif"/>
          <w:b w:val="1"/>
          <w:sz w:val="24"/>
        </w:rPr>
      </w:pPr>
    </w:p>
    <w:p w14:paraId="41000000">
      <w:pPr>
        <w:spacing w:before="269"/>
        <w:ind w:right="10"/>
        <w:jc w:val="right"/>
        <w:rPr>
          <w:rFonts w:ascii="PT Astra Serif" w:hAnsi="PT Astra Serif"/>
          <w:b w:val="1"/>
          <w:sz w:val="24"/>
        </w:rPr>
      </w:pPr>
    </w:p>
    <w:p w14:paraId="42000000">
      <w:pPr>
        <w:spacing w:before="269"/>
        <w:ind w:right="10"/>
        <w:rPr>
          <w:rFonts w:ascii="PT Astra Serif" w:hAnsi="PT Astra Serif"/>
          <w:b w:val="1"/>
          <w:sz w:val="24"/>
        </w:rPr>
      </w:pPr>
    </w:p>
    <w:p w14:paraId="43000000">
      <w:pPr>
        <w:spacing w:before="269"/>
        <w:ind w:right="10"/>
        <w:jc w:val="right"/>
        <w:rPr>
          <w:rFonts w:ascii="PT Astra Serif" w:hAnsi="PT Astra Serif"/>
          <w:b w:val="1"/>
          <w:sz w:val="24"/>
        </w:rPr>
      </w:pPr>
      <w:bookmarkStart w:id="1" w:name="_gjdgxs"/>
      <w:bookmarkEnd w:id="1"/>
      <w:r>
        <w:rPr>
          <w:b w:val="1"/>
          <w:sz w:val="24"/>
        </w:rPr>
        <w:t xml:space="preserve">Приложение </w:t>
      </w:r>
    </w:p>
    <w:p w14:paraId="44000000">
      <w:pPr>
        <w:spacing w:before="269"/>
        <w:ind w:right="1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Рекомендуемая литература</w:t>
      </w:r>
    </w:p>
    <w:p w14:paraId="45000000">
      <w:pPr>
        <w:keepNext w:val="0"/>
        <w:keepLines w:val="0"/>
        <w:pageBreakBefore w:val="0"/>
        <w:widowControl w:val="1"/>
        <w:tabs>
          <w:tab w:leader="none" w:pos="567" w:val="left"/>
          <w:tab w:leader="none" w:pos="709" w:val="left"/>
          <w:tab w:leader="none" w:pos="928" w:val="left"/>
          <w:tab w:leader="none" w:pos="1003" w:val="left"/>
        </w:tabs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1.Федеральный закон «О бухгалтерском учете» №402 –ФЗ от 06.12.2011 г.</w:t>
      </w:r>
    </w:p>
    <w:p w14:paraId="46000000">
      <w:pPr>
        <w:keepNext w:val="0"/>
        <w:keepLines w:val="0"/>
        <w:pageBreakBefore w:val="0"/>
        <w:widowControl w:val="1"/>
        <w:tabs>
          <w:tab w:leader="none" w:pos="567" w:val="left"/>
          <w:tab w:leader="none" w:pos="709" w:val="left"/>
          <w:tab w:leader="none" w:pos="1003" w:val="left"/>
        </w:tabs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(в ред. от 26.07.2019 №247–ФЗ)</w:t>
      </w:r>
    </w:p>
    <w:p w14:paraId="47000000">
      <w:pPr>
        <w:keepNext w:val="0"/>
        <w:keepLines w:val="0"/>
        <w:pageBreakBefore w:val="0"/>
        <w:widowControl w:val="1"/>
        <w:tabs>
          <w:tab w:leader="none" w:pos="567" w:val="left"/>
          <w:tab w:leader="none" w:pos="709" w:val="left"/>
          <w:tab w:leader="none" w:pos="928" w:val="left"/>
          <w:tab w:leader="none" w:pos="1003" w:val="left"/>
        </w:tabs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2.Налоговый  кодекс Российской Федерации, 2022 г.</w:t>
      </w:r>
    </w:p>
    <w:p w14:paraId="48000000">
      <w:pPr>
        <w:keepNext w:val="0"/>
        <w:keepLines w:val="0"/>
        <w:pageBreakBefore w:val="0"/>
        <w:widowControl w:val="1"/>
        <w:tabs>
          <w:tab w:leader="none" w:pos="567" w:val="left"/>
          <w:tab w:leader="none" w:pos="709" w:val="left"/>
          <w:tab w:leader="none" w:pos="928" w:val="left"/>
          <w:tab w:leader="none" w:pos="1003" w:val="left"/>
        </w:tabs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3.Трудовой кодекс Российской Федерации – Проспект, КноРус, 2020г.–224 с.</w:t>
      </w:r>
    </w:p>
    <w:p w14:paraId="49000000">
      <w:pPr>
        <w:keepNext w:val="0"/>
        <w:keepLines w:val="0"/>
        <w:pageBreakBefore w:val="0"/>
        <w:widowControl w:val="1"/>
        <w:tabs>
          <w:tab w:leader="none" w:pos="567" w:val="left"/>
          <w:tab w:leader="none" w:pos="709" w:val="left"/>
          <w:tab w:leader="none" w:pos="928" w:val="left"/>
          <w:tab w:leader="none" w:pos="1003" w:val="left"/>
        </w:tabs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4.Все положения по бухгалтерскому учету – Москва: Эксмо,2020. – 224с.</w:t>
      </w:r>
    </w:p>
    <w:p w14:paraId="4A000000">
      <w:pPr>
        <w:keepNext w:val="0"/>
        <w:keepLines w:val="0"/>
        <w:pageBreakBefore w:val="0"/>
        <w:widowControl w:val="1"/>
        <w:tabs>
          <w:tab w:leader="none" w:pos="567" w:val="left"/>
          <w:tab w:leader="none" w:pos="709" w:val="left"/>
          <w:tab w:leader="none" w:pos="928" w:val="left"/>
          <w:tab w:leader="none" w:pos="1003" w:val="left"/>
        </w:tabs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5.План счетов бухгалтерского учета финансово-хозяйственной деятельности организации и Инструкция по его применению – Москва: Эксмо,2022. –112с.</w:t>
      </w:r>
    </w:p>
    <w:p w14:paraId="4B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6.Захаров, И. В.  Бухгалтерский учет и анализ: учебник для среднего профессионального образования / И. В. Захаров, О. Н. Тарасова ; под редакцией И. М. Дмитриевой. — Москва : Издательство Юрайт, 2021. — 423 с. — (Профессиональное образование). — ISBN 978-5-534-02594-1. — Текст : электронный // Образовательная платформа Юрайт [сайт]. — URL: 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"https://urait.ru/bcode/469695"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https://urait.ru/bcode/469695</w:t>
      </w:r>
      <w:r>
        <w:rPr>
          <w:rStyle w:val="Style_4_ch"/>
          <w:rFonts w:ascii="Times New Roman" w:hAnsi="Times New Roman"/>
          <w:sz w:val="24"/>
        </w:rPr>
        <w:fldChar w:fldCharType="end"/>
      </w:r>
    </w:p>
    <w:p w14:paraId="4C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7.Кулагина, Н. А.  Анализ и диагностика финансово-хозяйственной деятельности предприятия. Практикум : учебное пособие для среднего профессионального образования / Н. А. Кулагина. — 2-е изд., перераб. и доп. — Москва : Издательство Юрайт, 2021. — 135 с. — (Профессиональное образование). — ISBN 978-5-534-07836-7. — Текст : электронный // Образовательная платформа Юрайт [сайт]. — URL: 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"https://urait.ru/bcode/472700"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https://urait.ru/bcode/472700</w:t>
      </w:r>
      <w:r>
        <w:rPr>
          <w:rStyle w:val="Style_4_ch"/>
          <w:rFonts w:ascii="Times New Roman" w:hAnsi="Times New Roman"/>
          <w:sz w:val="24"/>
        </w:rPr>
        <w:fldChar w:fldCharType="end"/>
      </w:r>
      <w:r>
        <w:rPr>
          <w:rStyle w:val="Style_4_ch"/>
          <w:rFonts w:ascii="Times New Roman" w:hAnsi="Times New Roman"/>
          <w:sz w:val="24"/>
        </w:rPr>
        <w:t> </w:t>
      </w:r>
    </w:p>
    <w:p w14:paraId="4D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8.Налоговый учет и отчетность : учебник и практикум для среднего профессионального образования / Н. И. Малис, Л. П. Грундел, Д. И. Ряховский, А. С. Зинягина ; под редакцией Н. И. Малис. — 4-е изд., перераб. и доп. — Москва : Издательство Юрайт, 2021. — 411 с. — (Профессиональное образование). — ISBN 978-5-534-15086-5. — Текст : электронный // Образовательная платформа Юрайт [сайт]. — URL: 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"https://urait.ru/bcode/487165"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https://urait.ru/bcode/487165</w:t>
      </w:r>
      <w:r>
        <w:rPr>
          <w:rStyle w:val="Style_4_ch"/>
          <w:rFonts w:ascii="Times New Roman" w:hAnsi="Times New Roman"/>
          <w:sz w:val="24"/>
        </w:rPr>
        <w:fldChar w:fldCharType="end"/>
      </w:r>
    </w:p>
    <w:p w14:paraId="4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9.</w:t>
      </w:r>
      <w:r>
        <w:rPr>
          <w:rStyle w:val="Style_4_ch"/>
          <w:rFonts w:ascii="Times New Roman" w:hAnsi="Times New Roman"/>
          <w:sz w:val="24"/>
        </w:rPr>
        <w:t>Трофимова, Л. Б.  Международные стандарты финансовой отчетности : учебник и практикум для среднего профессионального образования / Л. Б. Трофимова. — 6-е изд., испр. и доп. — Москва : Издательство Юрайт, 2021. — 259 с. — (Профессиональное образование). — ISBN 978-5-534-15255-5. — Текст : электронный // Образовательная платформа Юрайт [сайт]. — URL: 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"https://urait.ru/bcode/488057"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https://urait.ru/bcode/488057</w:t>
      </w:r>
      <w:r>
        <w:rPr>
          <w:rStyle w:val="Style_4_ch"/>
          <w:rFonts w:ascii="Times New Roman" w:hAnsi="Times New Roman"/>
          <w:sz w:val="24"/>
        </w:rPr>
        <w:fldChar w:fldCharType="end"/>
      </w:r>
    </w:p>
    <w:p w14:paraId="4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Интернет-ресурсы:</w:t>
      </w:r>
    </w:p>
    <w:p w14:paraId="50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1.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"http://www.buhgalteria.ru/"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buchgalteria.ru</w:t>
      </w:r>
      <w:r>
        <w:rPr>
          <w:rStyle w:val="Style_4_ch"/>
          <w:rFonts w:ascii="Times New Roman" w:hAnsi="Times New Roman"/>
          <w:sz w:val="24"/>
        </w:rPr>
        <w:fldChar w:fldCharType="end"/>
      </w:r>
      <w:r>
        <w:rPr>
          <w:rStyle w:val="Style_4_ch"/>
          <w:rFonts w:ascii="Times New Roman" w:hAnsi="Times New Roman"/>
          <w:sz w:val="24"/>
        </w:rPr>
        <w:t xml:space="preserve"> – Информационно-аналитическое электронное издание в области бухгалтерского учета и налогообложения: новости, комментарии, статьи по тематике  </w:t>
      </w:r>
    </w:p>
    <w:p w14:paraId="51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2.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"http://www.glavbukh.ru/"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glavbuch.ru</w:t>
      </w:r>
      <w:r>
        <w:rPr>
          <w:rStyle w:val="Style_4_ch"/>
          <w:rFonts w:ascii="Times New Roman" w:hAnsi="Times New Roman"/>
          <w:sz w:val="24"/>
        </w:rPr>
        <w:fldChar w:fldCharType="end"/>
      </w:r>
      <w:r>
        <w:rPr>
          <w:rStyle w:val="Style_4_ch"/>
          <w:rFonts w:ascii="Times New Roman" w:hAnsi="Times New Roman"/>
          <w:sz w:val="24"/>
        </w:rPr>
        <w:t xml:space="preserve"> – журнал Главбух</w:t>
      </w:r>
    </w:p>
    <w:p w14:paraId="52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3.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"http://www.buhonline.ru/"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buchonline.ru</w:t>
      </w:r>
      <w:r>
        <w:rPr>
          <w:rStyle w:val="Style_4_ch"/>
          <w:rFonts w:ascii="Times New Roman" w:hAnsi="Times New Roman"/>
          <w:sz w:val="24"/>
        </w:rPr>
        <w:fldChar w:fldCharType="end"/>
      </w:r>
      <w:r>
        <w:rPr>
          <w:rStyle w:val="Style_4_ch"/>
          <w:rFonts w:ascii="Times New Roman" w:hAnsi="Times New Roman"/>
          <w:sz w:val="24"/>
        </w:rPr>
        <w:t>–Новости бухгалтерии и налогообложения. Статьи по арбитражной практике. Обмен опытом, консультации экспертов по вопросам бухгалтерского учета. Профессиональный форум бухгалтеров</w:t>
      </w:r>
    </w:p>
    <w:sectPr>
      <w:headerReference r:id="rId1" w:type="default"/>
      <w:pgSz w:h="16848" w:orient="portrait" w:w="11908"/>
      <w:pgMar w:bottom="1134" w:footer="0" w:header="0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center"/>
    </w:pPr>
  </w:p>
  <w:p w14:paraId="02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  <w:p w14:paraId="03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9_ch" w:type="character">
    <w:name w:val="heading 3"/>
    <w:basedOn w:val="Style_4_ch"/>
    <w:link w:val="Style_9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4"/>
    <w:next w:val="Style_4"/>
    <w:link w:val="Style_11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1_ch" w:type="character">
    <w:name w:val="heading 5"/>
    <w:basedOn w:val="Style_4_ch"/>
    <w:link w:val="Style_11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2" w:type="paragraph">
    <w:name w:val="heading 1"/>
    <w:basedOn w:val="Style_4"/>
    <w:next w:val="Style_4"/>
    <w:link w:val="Style_12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12_ch" w:type="character">
    <w:name w:val="heading 1"/>
    <w:basedOn w:val="Style_4_ch"/>
    <w:link w:val="Style_12"/>
    <w:rPr>
      <w:rFonts w:ascii="Cambria" w:hAnsi="Cambria"/>
      <w:b w:val="1"/>
      <w:color w:val="365F91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basedOn w:val="Style_4"/>
    <w:next w:val="Style_4"/>
    <w:link w:val="Style_20_ch"/>
    <w:uiPriority w:val="11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0_ch" w:type="character">
    <w:name w:val="Subtitle"/>
    <w:basedOn w:val="Style_4_ch"/>
    <w:link w:val="Style_20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1" w:type="paragraph">
    <w:name w:val="toc 10"/>
    <w:next w:val="Style_4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basedOn w:val="Style_4"/>
    <w:next w:val="Style_4"/>
    <w:link w:val="Style_22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2_ch" w:type="character">
    <w:name w:val="Title"/>
    <w:basedOn w:val="Style_4_ch"/>
    <w:link w:val="Style_22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3" w:type="paragraph">
    <w:name w:val="heading 4"/>
    <w:basedOn w:val="Style_4"/>
    <w:next w:val="Style_4"/>
    <w:link w:val="Style_23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3_ch" w:type="character">
    <w:name w:val="heading 4"/>
    <w:basedOn w:val="Style_4_ch"/>
    <w:link w:val="Style_23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1_ch" w:type="character">
    <w:name w:val="heading 2"/>
    <w:basedOn w:val="Style_4_ch"/>
    <w:link w:val="Style_1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4" w:type="paragraph">
    <w:name w:val="heading 6"/>
    <w:basedOn w:val="Style_4"/>
    <w:next w:val="Style_4"/>
    <w:link w:val="Style_24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4_ch" w:type="character">
    <w:name w:val="heading 6"/>
    <w:basedOn w:val="Style_4_ch"/>
    <w:link w:val="Style_24"/>
    <w:rPr>
      <w:b w:val="1"/>
      <w:sz w:val="20"/>
    </w:rPr>
  </w:style>
  <w:style w:styleId="Style_25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27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7"/>
        <w:left w:type="dxa" w:w="0"/>
        <w:bottom w:type="dxa" w:w="0"/>
        <w:right w:type="dxa" w:w="0"/>
      </w:tblCellMar>
    </w:tblPr>
  </w:style>
  <w:style w:styleId="Style_3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29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31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32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35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37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17"/>
        <w:left w:type="dxa" w:w="109"/>
        <w:bottom w:type="dxa" w:w="42"/>
        <w:right w:type="dxa" w:w="49"/>
      </w:tblCellMar>
    </w:tblPr>
  </w:style>
  <w:style w:styleId="Style_38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default="1" w:styleId="Style_26" w:type="table">
    <w:name w:val="Table Normal"/>
  </w:style>
  <w:style w:styleId="Style_2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40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41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42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43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44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45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46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47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  <w:style w:styleId="Style_49" w:type="table">
    <w:basedOn w:val="Style_26"/>
    <w:semiHidden w:val="1"/>
    <w:unhideWhenUsed w:val="1"/>
    <w:rPr>
      <w:rFonts w:ascii="Calibri" w:hAnsi="Calibri"/>
      <w:sz w:val="22"/>
    </w:rPr>
    <w:tblPr>
      <w:tblCellMar>
        <w:top w:type="dxa" w:w="0"/>
        <w:left w:type="dxa" w:w="28"/>
        <w:bottom w:type="dxa" w:w="0"/>
        <w:right w:type="dxa" w:w="2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2024-03-20T15:18:11Z</dcterms:modified>
</cp:coreProperties>
</file>